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ai_ethics_syllabus_india</w:t>
      </w:r>
    </w:p>
    <w:p>
      <w:r>
        <w:t xml:space="preserve"> </w:t>
      </w:r>
    </w:p>
    <w:p>
      <w:pPr>
        <w:pStyle w:val="Heading2"/>
      </w:pPr>
      <w:r>
        <w:t>Title</w:t>
      </w:r>
    </w:p>
    <w:p>
      <w:r>
        <w:t>Automated syllabus-level analysis of AI ethics coverage in Indian computing curricula using multilingual NLP and a Bloom-based scorecard</w:t>
      </w:r>
    </w:p>
    <w:p>
      <w:r>
        <w:t xml:space="preserve"> </w:t>
      </w:r>
    </w:p>
    <w:p>
      <w:pPr>
        <w:pStyle w:val="Heading2"/>
      </w:pPr>
      <w:r>
        <w:t>Short Hypothesis</w:t>
      </w:r>
    </w:p>
    <w:p>
      <w:r>
        <w:t>Courses that include a dedicated AI-ethics module will have higher measured Bloom-depth scores for ethics topics than courses where ethics appears only as embedded or incidental mentions.</w:t>
      </w:r>
    </w:p>
    <w:p>
      <w:r>
        <w:t xml:space="preserve"> </w:t>
      </w:r>
    </w:p>
    <w:p>
      <w:pPr>
        <w:pStyle w:val="Heading2"/>
      </w:pPr>
      <w:r>
        <w:t>Related Work</w:t>
      </w:r>
    </w:p>
    <w:p>
      <w:r>
        <w:t>Prior work includes manual curriculum reviews of ethics in computer science, small-scale syllabus audits, and automated text analysis for curriculum mapping. Manual reviews provide detailed judgments but do not scale and often focus on a few institutions or English-language materials. Automated approaches using keyword matching or English-only classifiers scale better but miss context, produce many false positives on incidental mentions, and fail on non-English or OCR-noisy documents. Existing Bloom-mapping efforts either use coarse heuristics or lack reproducible numeric aggregation rules. Multilingual OCR and calibrated uncertainty propagation are also largely absent. Limitations across prior methods include limited sample representativeness, lack of standardized taxonomies tied to pedagogy, weak handling of multi-topic or implicit learning outcomes, insufficient reliability reporting, and poor support for Indic scripts and regional language variability.</w:t>
      </w:r>
    </w:p>
    <w:p>
      <w:r>
        <w:t xml:space="preserve"> </w:t>
      </w:r>
    </w:p>
    <w:p>
      <w:pPr>
        <w:pStyle w:val="Heading2"/>
      </w:pPr>
      <w:r>
        <w:t>Abstract</w:t>
      </w:r>
    </w:p>
    <w:p>
      <w:r>
        <w:t>We present a reproducible, automated pipeline to measure how AI ethics is taught across publicly available computing syllabi in India. The method extracts paragraph-level text from multilingual syllabi, maps educational objectives to Bloom levels (1–6), tags ethics topics with a three-layer taxonomy (core topics, contextual domains, pedagogy/assessment), and computes course-level scores using weighted aggregation. We train a multilingual paragraph classifier to output calibrated probabilities over Bloom levels and topics; we convert those probabilities to expected numeric depth and propagate uncertainty with multiple imputation to produce confidence intervals. The main contribution is an auditable scorecard that combines breadth, depth, pedagogy quality, and assessment rigor into a single composite while preserving per-label uncertainty and language provenance. Expected outcomes include a national-scale estimate of ethics coverage by program type and region, reproducible codebook and gold-set artifacts, and machine-readable templates for curriculum improvement. Results will inform policy and curriculum design by identifying common gaps and scalable interventions.</w:t>
      </w:r>
    </w:p>
    <w:p>
      <w:r>
        <w:t xml:space="preserve"> </w:t>
      </w:r>
    </w:p>
    <w:p>
      <w:pPr>
        <w:pStyle w:val="Heading2"/>
      </w:pPr>
      <w:r>
        <w:t>Methodology</w:t>
      </w:r>
    </w:p>
    <w:p>
      <w:r>
        <w:t>1) Sampling and collection: build a sampling frame from official program lists (AICTE/UGC and university catalogs). Stratify by institution type, region, program level, and language. For each selected program, download public syllabus PDFs/HTML and record URL, retrieval date, and license. 2) Document processing: extract structured text with a layout-aware tool (Tika/PDFMiner). If text is absent, run OCR (Tesseract with Indic configs). 'OCR' means converting image text to digital text. Record OCR confidence per page. 3) Segmentation and metadata: split text into paragraphs or module entries. For each unit store estimated minutes or credits when present; if not present use normalized token counts (words) as a proxy weight. 4) Codebook and Bloom mapping: publish a machine-readable codebook with six exemplar statements per Bloom level. Map verb cues (define, explain, apply, analyze, evaluate, design) to levels. Numeric depth d = (b-1)/5 where b∈{1..6}. 5) Annotation: create a gold set of ~1,000 labeled paragraph units sampled across strata. Double-code ~20% and compute Krippendorff's alpha. Use active learning (select uncertain examples) to expand labels. 6) Modeling: train a multilingual transformer classifier (IndicBERT or XLM-R) that outputs calibrated probabilities for topic tags and Bloom levels per paragraph. 'Calibrated' means probability values reflect true likelihoods (temperature scaling or isotonic regression). 7) Aggregation: compute expected paragraph depth E[d] = Σ p(b)·d(b). Aggregate to module and course depth using minutes/credit weights. Compute breadth = unique topics present / taxonomy size. Compose final score = 0.30*breadth + 0.35*depth + 0.20*pedagogy + 0.15*assessment. 8) Uncertainty: perform multiple imputation by sampling labels from calibrated probabilities (e.g., 50 draws), aggregate across draws to produce median and 95% CI for each course-level measure. 9) Decision rules (examples): incidental vs substantive: mark substantive if an ethics topic appears in a learning outcome or occupies ≥10 contiguous tokens with topical verb or appears under a dedicated module heading; otherwise mark incidental. Multi-sentence or implicit outcomes: merge adjacent sentences within the same module; if multiple topics occur, split the paragraph at clause boundaries where possible or assign weighted tags by token proportion. 10) Validation: blind expert review of 10% of courses and report reliability metrics and calibration diagnostics.</w:t>
      </w:r>
    </w:p>
    <w:p>
      <w:r>
        <w:t xml:space="preserve"> </w:t>
      </w:r>
    </w:p>
    <w:p>
      <w:pPr>
        <w:pStyle w:val="Heading2"/>
      </w:pPr>
      <w:r>
        <w:t>Experiments</w:t>
      </w:r>
    </w:p>
    <w:p>
      <w:r>
        <w:t>Dataset: Pilot dataset of ~150 courses from 25–30 institutions (English + Hindi + Tamil + Telugu + Bengali + Marathi where available). Main dataset: ~500 courses across ~100 institutions stratified by type, region, and program level. Baselines: (A) manual gold standard (human labels), (B) keyword matching baseline that tags paragraphs by keyword lists, (C) English-only transformer classifier without Indic support. Metrics: per-label precision, recall, F1; Krippendorff's alpha for human agreement; expected calibration error (ECE) for probability calibration; root-mean-square error (RMSE) between automated and expert course depth; coverage of 95% CI (empirical). Setup: 5-fold stratified cross-validation at paragraph level with institution-level grouping retained in splits. Train models on training folds, tune hyperparameters on validation fold, evaluate on held-out fold. Use temperature scaling on validation to calibrate probabilities. Uncertainty: perform 50 multiple-imputation draws per test example to compute course-level CIs; report mean and 95% CI. Statistical test: compare mean course depth between courses with dedicated ethics modules vs embedded-only using two-sample t-test and Wilcoxon rank-sum; report effect size and p-value. Ablation studies: 1) remove OCR confidence feature and measure change in F1 and RMSE; 2) replace multilingual embeddings with English-only embeddings and report per-language performance drop; 3) vary composite weights (three alternative weight sets) and report stability of rank order of top 20 institutions. Human-in-the-loop test: for 10% of low-confidence paragraphs, route to human coding and compare composite scores with and without human corrections. Reporting: provide per-stratum breakdowns and model confusion matrices, plus top false positives/negatives.</w:t>
      </w:r>
    </w:p>
    <w:p>
      <w:r>
        <w:t xml:space="preserve"> </w:t>
      </w:r>
    </w:p>
    <w:p>
      <w:pPr>
        <w:pStyle w:val="Heading2"/>
      </w:pPr>
      <w:r>
        <w:t>Risk Factors And Limitations</w:t>
      </w:r>
    </w:p>
    <w:p>
      <w:r>
        <w:t>1) Incomplete or biased public syllabi: many courses may not publish detailed syllabi, causing sampling bias and undercoverage of some regions or private colleges. 2) OCR errors: Indic script OCR can introduce text errors that reduce classifier accuracy, especially for low-resource languages and poor-quality scans. 3) Ambiguous language: prescriptive wording ('students will be aware') or implicit outcomes may produce inconsistent human labels and lower reliability. 4) Classifier performance variability: models may perform worse on less-represented languages or small institutions, causing differential measurement error. 5) Legal and licensing constraints: copyright or institutional restrictions may prevent sharing full texts or excerpts, limiting reproducibility. 6) Aggregation and weighting sensitivity: composite scores depend on chosen weights and weighting fallbacks (minutes vs token counts), which may change institutional rankings. 7) Re-identification risk: small strata or rare course combinations may allow indirect identification of departments if detailed aggregates are published. 8) Computational costs: multilingual models and repeated imputations require compute resources that may limit rapid iteration. 9) Generalization limits: findings apply to publicly posted syllabi and Indian context only and may not reflect classroom practice or non-documented teaching activities.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