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trcs_lab_error_analysis</w:t>
      </w:r>
    </w:p>
    <w:p>
      <w:r>
        <w:t xml:space="preserve"> </w:t>
      </w:r>
    </w:p>
    <w:p>
      <w:pPr>
        <w:pStyle w:val="Heading2"/>
      </w:pPr>
      <w:r>
        <w:t>Title</w:t>
      </w:r>
    </w:p>
    <w:p>
      <w:r>
        <w:t>Retrospective DPMO and six-sigma analysis of laboratory errors across the total testing process in a Thai Red Cross Society general hospital, 2021–2023</w:t>
      </w:r>
    </w:p>
    <w:p>
      <w:r>
        <w:t xml:space="preserve"> </w:t>
      </w:r>
    </w:p>
    <w:p>
      <w:pPr>
        <w:pStyle w:val="Heading2"/>
      </w:pPr>
      <w:r>
        <w:t>Short Hypothesis</w:t>
      </w:r>
    </w:p>
    <w:p>
      <w:r>
        <w:t>Phase-specific DPMO and six-sigma analysis of 2021–2023 laboratory records will identify the highest-error phases and specimen sources such that targeted SOP interventions informed by these metrics will reduce the pre-analytical rejection rate by at least 20% in a 6-month pilot.</w:t>
      </w:r>
    </w:p>
    <w:p>
      <w:r>
        <w:t xml:space="preserve"> </w:t>
      </w:r>
    </w:p>
    <w:p>
      <w:pPr>
        <w:pStyle w:val="Heading2"/>
      </w:pPr>
      <w:r>
        <w:t>Related Work</w:t>
      </w:r>
    </w:p>
    <w:p>
      <w:r>
        <w:t>Previous studies have applied descriptive statistics and six-sigma metrics to laboratory error data to report error frequency across pre-analytical, analytical, and post-analytical phases. Common approaches summarize rejection rates, turnaround time, and sigma-converted defect rates but often use inconsistent denominators (per-specimen vs per-test), lack adjustment for under-reporting, and omit formal missing-data or misclassification validation. Many analyses are purely descriptive without prespecified interrupted time-series (ITS) designs or power calculations for pilot interventions. Existing capture–recapture use in laboratory settings is limited or simplistic, with few studies applying hierarchical or Bayesian variants to model source dependence and heterogeneity. Rater training and inter-rater reliability for error classification are rarely reported, leaving uncertainty about misclassification bias. As a result, prior work provides useful snapshots but offers limited reproducible guidance for adjusted error estimates, causal assessment of interventions, and defensible pilot design.</w:t>
      </w:r>
    </w:p>
    <w:p>
      <w:r>
        <w:t xml:space="preserve"> </w:t>
      </w:r>
    </w:p>
    <w:p>
      <w:pPr>
        <w:pStyle w:val="Heading2"/>
      </w:pPr>
      <w:r>
        <w:t>Abstract</w:t>
      </w:r>
    </w:p>
    <w:p>
      <w:r>
        <w:t>Laboratory errors across the total testing process threaten quality and patient safety, but published analyses often use inconsistent counting rules, fail to adjust for under-reporting, and lack validated taxonomies. We propose a retrospective study of 2021–2023 error records from a Thai Red Cross Society general hospital that (1) harmonizes operational definitions and a single error taxonomy, (2) computes phase- and specimen-specific DPMO (defects per million opportunities) and converts DPMO to six-sigma metrics, (3) estimates under-reporting via a hierarchical Bayesian capture–recapture model, and (4) evaluates intervention impact using count-based interrupted time-series and mixed-effects models. Main contributions are a reproducible analysis pipeline, an audited validation sub-study for misclassification, and an ITS-powered pilot design with pre-specified KPIs (error rates, pre-analytical rejection, TAT, sigma). Expected outcomes include adjusted error-rate estimates with uncertainty, identification of high-impact targets for SOP change, and measurable reductions in preventable errors during a 6–12 month pilot.</w:t>
      </w:r>
    </w:p>
    <w:p>
      <w:r>
        <w:t xml:space="preserve"> </w:t>
      </w:r>
    </w:p>
    <w:p>
      <w:pPr>
        <w:pStyle w:val="Heading2"/>
      </w:pPr>
      <w:r>
        <w:t>Methodology</w:t>
      </w:r>
    </w:p>
    <w:p>
      <w:r>
        <w:t>1) Harmonize definitions: adopt a single canonical taxonomy for errors (pre-analytical, analytical, post-analytical) and lock denominator rules: pre/post opportunities = one per specimen, analytical opportunities = one per test. Produce a data dictionary and example counting rules. 2) Data extraction and ETL: extract 2021–2023 records from LIS, incident reports, and local error logs into a data mart with specimen_id, de-identified patient_id, test_code, phase, timestamps, instrument_id, rejection_reason, specimen_quality flags, staff_id. 3) Error counts and DPMO: compute defects and opportunities per phase; DPMO = (defects / opportunities) * 1,000,000. 4) Sigma conversion: convert DPMO to sigma using sigma = Φ^{-1}(1 − DPMO/1,000,000) where Φ^{-1} is the standard normal inverse. Explain: DPMO is defects per million chances; sigma is a scale mapping defects to quality level. 5) Capture–recapture: fit a hierarchical Bayesian log-linear capture–recapture model using at least three sources to estimate under-reporting and model source dependence and instrument/site heterogeneity. Use weakly informative priors (e.g., Normal(0,1) on log-odds random effects, half-Cauchy for SDs). 6) Missing data: run MICE (multiple imputation by chained equations) for MAR scenarios and pattern-mixture/selection MNAR models for sensitivity. 7) Validation sub-study: perform blinded chart/specimen reviews by trained raters using the taxonomy; measure Cohen’s kappa and estimate misclassification rates to adjust counts. 8) Time-series impact: prespecify interruption dates, require &gt;=12 monthly pre and &gt;=12 monthly post points if feasible, and run segmented regression on counts using Poisson/negative-binomial mixed-effects models with AR(1) errors and seasonality covariates. 9) Reproducibility: implement analysis in version-controlled R/Python scripts, containerize environment, and produce dashboard prototypes. 10) Explain technical terms simply: MICE fills missing values by predicting them from other fields; capture–recapture compares lists to estimate unseen events; ITS tests level/slope change after an intervention.</w:t>
      </w:r>
    </w:p>
    <w:p>
      <w:r>
        <w:t xml:space="preserve"> </w:t>
      </w:r>
    </w:p>
    <w:p>
      <w:pPr>
        <w:pStyle w:val="Heading2"/>
      </w:pPr>
      <w:r>
        <w:t>Experiments</w:t>
      </w:r>
    </w:p>
    <w:p>
      <w:r>
        <w:t>Datasets: 1) Primary: merged 2021–2023 hospital LIS error events, specimen/test records, incident reports (three independent sources). 2) Validation: blinded chart/specimen review sample of N=600 records drawn stratified by phase and specimen source. 3) Pilot: 6-month intervention site data after SOP changes. Baselines: current unadjusted counts and per-specimen/per-test DPMO calculated using raw logged errors. Baselines for models: monthly counts and opportunity denominators. Models and analyses: - Capture–recapture: hierarchical Bayesian log-linear model with interaction terms; report posterior adjusted counts and 95% credible intervals; software: brms/rstan or JAGS. - Missing data: MICE (mice package) and pattern-mixture selection models (brms/rstan); report imputed vs complete-case results. - ITS: segmented regression on monthly counts using negative-binomial mixed-effects with AR(1) residuals; covariates: monthly workload, staffing FTEs, seasonality indicators; software: nlme/mgcv or glmmTMB. - Effect estimation: primary outcome = change in pre-analytical rejection rate; report absolute and relative change, 95% CI, p-value or Bayes credible interval. Secondary outcomes: overall DPMO by phase, sigma change, TAT median/IQR, repeat phlebotomy rate, time-to-treatment for a selected critical-result subset. Evaluation metrics: DPMO, sigma, percent reduction, AIC/WAIC for model fit, Durbin–Watson and Ljung–Box for autocorrelation diagnostics, Cohen’s kappa for inter-rater reliability. Ablation studies: (A) analysis with capture–recapture adjustment vs unadjusted; (B) MICE imputations vs MNAR pattern-mixture; (C) per-specimen DPMO primary vs per-test DPMO alternative. Comparison baselines: naive descriptive summary, and ITS without AR(1) correction. Required design details: minimum 12 pre and 12 post monthly timepoints for ITS; capture–recapture requires at least three independent sources; validation N=600 supports kappa estimation with ±4% margin. Software list: R packages brms/rstanarm, glmmTMB, nlme, mgcv, forecast, tsModel, causalImpact, mice, Amelia, and Python for ETL as needed.</w:t>
      </w:r>
    </w:p>
    <w:p>
      <w:r>
        <w:t xml:space="preserve"> </w:t>
      </w:r>
    </w:p>
    <w:p>
      <w:pPr>
        <w:pStyle w:val="Heading2"/>
      </w:pPr>
      <w:r>
        <w:t>Risk Factors And Limitations</w:t>
      </w:r>
    </w:p>
    <w:p>
      <w:r>
        <w:t>1) Under-reporting: incomplete or biased event capture may persist despite capture–recapture assumptions; dependence between sources can violate model assumptions. 2) Misclassification: taxonomy errors and low inter-rater reliability will bias adjusted counts. 3) Missing data: MNAR mechanisms may not be fully identifiable and can affect estimates. 4) ITS constraints: limited pre/post timepoints (&lt;12) reduce power and increase risk of confounding by co-interventions. 5) Small effect sizes: detecting &lt;20% relative reductions may require impractically large sample sizes. 6) Generalizability: findings from a single hospital may not transfer to other settings with different workflows. 7) Computational limits: Bayesian hierarchical models and multiple imputation on large records require substantial compute and time. 8) Data governance: delays in IRB/PDPA approvals or restricted access can limit dataset completeness and timeline. 9) Measurement biases: TAT and clinical endpoint linkage may be mis-timed or incompletely recorded, biasing clinical impact estimates. 10) Scalability: operationalizing sustained changes across sites needs resources beyond the pilot and may reveal unanticipated workflow constraints.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