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agc_predicts_lactate_sepsis_ed</w:t>
      </w:r>
    </w:p>
    <w:p>
      <w:r>
        <w:t xml:space="preserve"> </w:t>
      </w:r>
    </w:p>
    <w:p>
      <w:pPr>
        <w:pStyle w:val="Heading2"/>
      </w:pPr>
      <w:r>
        <w:t>Title</w:t>
      </w:r>
    </w:p>
    <w:p>
      <w:r>
        <w:t>Albumin-corrected anion gap as a predictor of elevated serum lactate in emergency department patients with sepsis without shock: a retrospective diagnostic ROC study</w:t>
      </w:r>
    </w:p>
    <w:p>
      <w:r>
        <w:t xml:space="preserve"> </w:t>
      </w:r>
    </w:p>
    <w:p>
      <w:pPr>
        <w:pStyle w:val="Heading2"/>
      </w:pPr>
      <w:r>
        <w:t>Short Hypothesis</w:t>
      </w:r>
    </w:p>
    <w:p>
      <w:r>
        <w:t>Higher albumin-corrected anion gap (AGc) values increase the probability of serum lactate &gt;2.0 mmol/L in adult emergency department patients diagnosed with sepsis without shock.</w:t>
      </w:r>
    </w:p>
    <w:p>
      <w:r>
        <w:t xml:space="preserve"> </w:t>
      </w:r>
    </w:p>
    <w:p>
      <w:pPr>
        <w:pStyle w:val="Heading2"/>
      </w:pPr>
      <w:r>
        <w:t>Related Work</w:t>
      </w:r>
    </w:p>
    <w:p>
      <w:r>
        <w:t>Prior work has evaluated uncorrected anion gap (AG) and simple AG thresholds as markers of elevated lactate in sepsis. Some studies reported that AG &gt;18 mmol/L predicts lactate &gt;4 mmol/L in non-shock sepsis, while AG &gt;12 mmol/L was found inadequate for predicting lactate &gt;2 mmol/L. Limitations of prior approaches include lack of albumin correction (which biases AG when albumin is low), sparse internal validation or optimism correction, inconsistent handling of assay and specimen differences (POC versus central lab, arterial versus venous), limited handling of selection bias from nonrandom lactate ordering, few prespecified cutpoint procedures with uncertainty estimates, and insufficient missing-data and calibration strategies. Existing studies therefore leave unresolved whether AG corrected for albumin provides reliable discrimination, calibrated probability estimates, and clinically useful cutpoints for lactate thresholds used in ED triage.</w:t>
      </w:r>
    </w:p>
    <w:p>
      <w:r>
        <w:t xml:space="preserve"> </w:t>
      </w:r>
    </w:p>
    <w:p>
      <w:pPr>
        <w:pStyle w:val="Heading2"/>
      </w:pPr>
      <w:r>
        <w:t>Abstract</w:t>
      </w:r>
    </w:p>
    <w:p>
      <w:r>
        <w:t>We propose a retrospective diagnostic study to test whether albumin-corrected anion gap (AGc) predicts elevated serum lactate in adults with sepsis without shock presenting to the emergency department. Using routinely collected ED labs and clinical data, AGc will be the primary predictor and lactate &gt;2.0 mmol/L the primary binary outcome; lactate &gt;4.0 mmol/L is a prespecified secondary outcome. We will compute AGc = [Na - (Cl + HCO3)] + 2.5*(4.0 - albumin[g/dL]) and fit a logistic model with restricted cubic splines for AGc. Discrimination will be assessed by ROC AUC with bootstrap (≥2,000 resamples) and optimism correction. Primary cutpoint will be the Youden index with bootstrap CIs; additional rule-out and rule-in thresholds near 95% sensitivity and 95% specificity will be reported. We will address selection bias with inverse-probability weighting, missing albumin with multiple imputation (m≥20), and report calibration (intercept, slope, Brier) and decision-curve net benefit. The main contribution is a preregistered, reproducible diagnostic evaluation that yields validated AGc thresholds and quantified clinical utility for ED triage.</w:t>
      </w:r>
    </w:p>
    <w:p>
      <w:r>
        <w:t xml:space="preserve"> </w:t>
      </w:r>
    </w:p>
    <w:p>
      <w:pPr>
        <w:pStyle w:val="Heading2"/>
      </w:pPr>
      <w:r>
        <w:t>Methodology</w:t>
      </w:r>
    </w:p>
    <w:p>
      <w:r>
        <w:t>Cohort definition: include adult ED encounters with suspected infection meeting Sepsis-3 criteria and no shock at time of blood draw. Use first ED encounter per patient for primary analysis. Timing window: pair lactate and electrolytes drawn within ±30 minutes (±60 min sensitivity). Exclude samples drawn after major interventions (≥1 L IV fluid or vasopressors) from primary cohort. AG and AGc calculation: AG = Na - (Cl + HCO3); AGc = AG + 2.5*(4.0 - albumin[g/dL]). If albumin in g/L, divide by 10. Missing albumin: use multiple imputation by chained equations (MICE) with m≥20 imputations; include age, creatinine/eGFR, liver tests, SOFA components, specimen type, and outcome predictors in the imputation model. Primary model: logistic regression for binary outcome lactate&gt;2.0 with AGc as a continuous predictor modeled by restricted cubic splines (4 knots at 5th, 35th, 65th, 95th percentiles). Report adjusted models with prespecified covariates: age, sex, CKD, liver disease, source of infection, time-to-draw. Discrimination and cutpoints: compute ROC AUC and 95% CI by nonparametric bootstrap (≥2,000 resamples) and apply bootstrap optimism correction. Select primary cutpoint by Youden index and produce bootstrap CI for that cutpoint. Also compute thresholds achieving approx. 95% sensitivity (rule-out) and 95% specificity (rule-in). Report sensitivity, specificity, PPV, NPV, likelihood ratios, and PPV/NPV across a prevalence grid. Calibration: report calibration-in-the-large (intercept), calibration slope, Brier score, and calibration plots; compute optimism-corrected estimates by bootstrap. Selection bias: estimate probability of lactate ordering via logistic model with forced covariates and apply stabilized inverse-probability weights (truncate at 1st and 99th percentile); report weight distribution diagnostics. Assay harmonization: record specimen type and assay method; compare methods with Bland-Altman and Deming regression; if systematic bias exceeds prespecified bounds, report method-stratified results or apply hierarchical calibration. Sensitivity analyses: uncorrected AG and AGK, alternative albumin correction coefficients (2.2 and 3.0), complete-case analysis, mixed-effects models for repeated encounters, exclusion of DKA/toxin/dialysis, and MNAR imputation scenarios.</w:t>
      </w:r>
    </w:p>
    <w:p>
      <w:r>
        <w:t xml:space="preserve"> </w:t>
      </w:r>
    </w:p>
    <w:p>
      <w:pPr>
        <w:pStyle w:val="Heading2"/>
      </w:pPr>
      <w:r>
        <w:t>Experiments</w:t>
      </w:r>
    </w:p>
    <w:p>
      <w:r>
        <w:t>Datasets: retrospective ED EHR dataset of adult encounters with suspected infection meeting Sepsis-3 criteria across the study hospital(s); include lab panels (Na, Cl, HCO3, K, albumin, lactate), timestamps, vitals, diagnoses, medication/IV fluid timestamps, and demographics. Baselines: 1) uncorrected AG logistic model, 2) AGK model ((Na+K)-(Cl+HCO3)), 3) baseline clinical model (age, sex, CKD, liver disease, source, time-to-draw, without AG), and 4) combined model (baseline clinical model + AGc). Primary evaluation metrics: AUC with bootstrap (≥2,000 resamples) and optimism correction; sensitivity, specificity, PPV, NPV, LR+, LR- at selected cutpoints; calibration intercept and slope; Brier score; net benefit from decision-curve analysis; incremental metrics: delta-AUC, integrated discrimination improvement (IDI), and category-free net reclassification index (NRI). Experimental setup: 1) Primary analysis: logistic regression with AGc splines predicting lactate&gt;2.0 on the first-encounter cohort with MICE-imputed datasets (m≥20); pool estimates using Rubin's rules; compute bootstrap AUC and cutpoint CIs. 2) IPW analysis: apply stabilized weights for probability of lactate testing and repeat ROC/logistic analyses weighted. 3) Assay-stratified analyses: separate POC blood gas vs central lab and arterial vs venous; compare results. Ablation studies: A) remove albumin correction (compare AGc vs uncorrected AG) and report delta-AUC, IDI, NRI; B) compare continuous AGc model versus binary cutpoint model to evaluate information loss. Additional sensitivity experiments: vary albumin correction coefficient (2.2, 2.5, 3.0), alternative winsorization (1st/99th vs none), and mixed-effects models including repeated encounters. Report exact sample sizes, event counts for lactate&gt;2 and &gt;4, and 95% bootstrap CIs for all metrics.</w:t>
      </w:r>
    </w:p>
    <w:p>
      <w:r>
        <w:t xml:space="preserve"> </w:t>
      </w:r>
    </w:p>
    <w:p>
      <w:pPr>
        <w:pStyle w:val="Heading2"/>
      </w:pPr>
      <w:r>
        <w:t>Risk Factors And Limitations</w:t>
      </w:r>
    </w:p>
    <w:p>
      <w:r>
        <w:t>Selection bias: lactate ordering is nonrandom and may bias estimates even after IPW; extreme weights or positivity violations may occur. Measurement error: assay differences (POC vs central lab) and arterial vs venous sampling can bias lactate and AG; calibration may be imperfect. Missing data: albumin or other covariates may be missing not at random, limiting imputation validity. Low event counts: lactate&gt;4.0 may be uncommon, reducing precision for that secondary endpoint. Confounding and causal inference: residual confounding by unmeasured severity may remain; observational design limits causal claims. Model overfitting: small effective sample or many covariates can produce unstable estimates and optimistic performance. Multicollinearity: correlated lab variables may affect coefficient stability. Generalizability: results from one hospital or assay mix may not transfer to other EDs or populations. Timing and interventions: misclassification of pre- versus post-intervention draws and time-dependent confounding may bias associations.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