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w:t>
      </w:r>
    </w:p>
    <w:p>
      <w:r>
        <w:t xml:space="preserve"> </w:t>
      </w:r>
    </w:p>
    <w:p>
      <w:pPr>
        <w:pStyle w:val="Heading2"/>
      </w:pPr>
      <w:r>
        <w:t>Title</w:t>
      </w:r>
    </w:p>
    <w:p>
      <w:r>
        <w:t>Effect of a 1:1:1 aqueous triherbal extract of Moringa oleifera, Ocimum gratissimum, and Vernonia amygdalina on thromboinflammatory biomarkers in STZ‑induced diabetic rats</w:t>
      </w:r>
    </w:p>
    <w:p>
      <w:r>
        <w:t xml:space="preserve"> </w:t>
      </w:r>
    </w:p>
    <w:p>
      <w:pPr>
        <w:pStyle w:val="Heading2"/>
      </w:pPr>
      <w:r>
        <w:t>Short Hypothesis</w:t>
      </w:r>
    </w:p>
    <w:p>
      <w:r>
        <w:t>Oral administration of the 1:1:1 aqueous triherbal extract at 150 mg/kg daily for 28 days reduces plasma soluble P‑selectin compared with diabetic vehicle in STZ‑induced diabetic rats.</w:t>
      </w:r>
    </w:p>
    <w:p>
      <w:r>
        <w:t xml:space="preserve"> </w:t>
      </w:r>
    </w:p>
    <w:p>
      <w:pPr>
        <w:pStyle w:val="Heading2"/>
      </w:pPr>
      <w:r>
        <w:t>Related Work</w:t>
      </w:r>
    </w:p>
    <w:p>
      <w:r>
        <w:t>Prior preclinical studies report that Moringa, Ocimum and Vernonia each have anti‑inflammatory, antioxidant or antiplatelet activity when tested separately. Existing work often: (1) tests single‑plant extracts rather than standardized blends; (2) focuses on glycemic control or broad inflammation markers rather than specific thromboinflammatory markers (for example sP‑selectin, thrombin generation or ex vivo aggregation); (3) lacks rigorous phytochemical batch QC and plasma PK linking exposure to effect; and (4) frequently uses small groups, single sex, or non‑standardized platelet preanalytics, limiting reproducibility and translational value. These gaps leave unresolved whether a standardized triherbal aqueous blend, dosed chronically, can modify integrated thromboinflammatory biology in experimental diabetes.</w:t>
      </w:r>
    </w:p>
    <w:p>
      <w:r>
        <w:t xml:space="preserve"> </w:t>
      </w:r>
    </w:p>
    <w:p>
      <w:pPr>
        <w:pStyle w:val="Heading2"/>
      </w:pPr>
      <w:r>
        <w:t>Abstract</w:t>
      </w:r>
    </w:p>
    <w:p>
      <w:r>
        <w:t>Diabetes increases risk of abnormal platelet activation and blood clot–related inflammation (thromboinflammation). We propose to test whether a standardized 1:1:1 aqueous blend of Moringa oleifera, Ocimum gratissimum, and Vernonia amygdalina modifies thromboinflammatory biomarkers in streptozotocin (STZ)‑diabetic rats. The study will use a blinded, randomized design with defined control arms (healthy, diabetic vehicle, aspirin positive control) and dose tiers (50, 150, 450 mg/kg) administered orally for 28 days. The primary outcome is plasma soluble P‑selectin measured by validated immunoassay. Secondary outcomes include ADP‑induced platelet aggregation, thrombin generation (endogenous thrombin potential), D‑dimer, selected cytokines, and pharmacokinetic exposure of marker phytochemicals. Main contributions are: (1) a regulatory‑style, preregistered preclinical test of a multi‑component botanical on integrated thromboinflammation endpoints; (2) standardized extraction and LC–MS batch QC; and (3) PK/PD correlation linking exposure to biological effects. Expected outcome is demonstration‑level evidence whether the blend reduces thromboinflammatory readouts and dose–response signals to support further translational development.</w:t>
      </w:r>
    </w:p>
    <w:p>
      <w:r>
        <w:t xml:space="preserve"> </w:t>
      </w:r>
    </w:p>
    <w:p>
      <w:pPr>
        <w:pStyle w:val="Heading2"/>
      </w:pPr>
      <w:r>
        <w:t>Methodology</w:t>
      </w:r>
    </w:p>
    <w:p>
      <w:r>
        <w:t>1) Extract preparation: authenticate plant material, dry leaves, mill, blend 1:1:1 by dry weight, perform hot water extraction (1:10 w/v, 90°C, 30 min), filter, concentrate and lyophilize. Record yield and measure marker compounds by LC–MS for batch QC (examples: rosmarinic acid, a Moringa quercetin glycoside, vernodalin). 2) Animals and diabetes induction: use adult rats (initial male cohort), fast overnight, inject STZ 60 mg/kg IP, confirm fasting glucose ≥250 mg/dL at 72 h and day 5; enroll eligible animals. 3) Grouping and dosing: randomize animals to: healthy non‑diabetic control, diabetic vehicle, blend 50 mg/kg, blend 150 mg/kg, blend 450 mg/kg, each constituent 150 mg/kg (Moringa, Ocimum, Vernonia), and positive control aspirin 30 mg/kg. Dose by oral gavage once daily for 28 days; use aqueous vehicle at a gavage volume of 5 mL/kg (aqueous suspension) and prepare fresh daily. 4) Sampling and assays: collect baseline, day 14, and terminal (day 28) blood for CBC, citrate plasma for platelet function, coagulation and PD; perform ex vivo ADP‑induced aggregation (define agonist concentration and instrument settings in SOP), calibrated automated thrombography (CAT) for thrombin generation, ELISA for sP‑selectin and D‑dimer, multiplex for IL‑6/TNF‑α. 5) PK satellite: dedicate n≈6/dose animals for plasma PK sampling at 0, 0.5, 1, 2, 4, 8 h post‑dose and quantify marker phytochemicals by validated LC–MS/MS. 6) QC and preanalytics: document anticoagulant ratios, centrifuge conditions, processing windows, storage temperatures and freeze‑thaw limits in SOPs. 7) Analysis: primary test is baseline‑adjusted ANCOVA on sP‑selectin; secondary tests include dose–response trend and blend vs individual comparisons with multiplicity control. 8) Safety: run Lorke acute toxicity screen and monitor welfare daily.</w:t>
      </w:r>
    </w:p>
    <w:p>
      <w:r>
        <w:t xml:space="preserve"> </w:t>
      </w:r>
    </w:p>
    <w:p>
      <w:pPr>
        <w:pStyle w:val="Heading2"/>
      </w:pPr>
      <w:r>
        <w:t>Experiments</w:t>
      </w:r>
    </w:p>
    <w:p>
      <w:r>
        <w:t>1) Cohorts and sample sizes: initial male cohorts with n=12 animals per group for seven groups (healthy control, diabetic vehicle, blend 50, blend 150, blend 450, Moringa150, Ocimum150, Vernonia150, aspirin30). Note: if including all nine groups raises logistics, combine constituent arms with planned contrasts; plan female replication only if male results show primary efficacy. 2) Primary endpoint: plasma sP‑selectin (ng/mL). Metric: absolute level at day 28 and change from baseline. Analysis: baseline‑adjusted ANCOVA (group + baseline), primary contrast blend150 vs diabetic vehicle, two‑sided α=0.05. 3) Secondary endpoints and metrics: ADP‑induced aggregation peak (light transmission % or impedance), thrombin generation ETP (nM·min), plasma D‑dimer (ng/mL), IL‑6/TNF‑α (pg/mL), CBC platelets (×10^9/L). Use mixed‑effects model for longitudinal data. 4) Baselines and controls: healthy non‑diabetic control and aspirin positive control. 5) PK/PD: compute Cmax and AUC for LC–MS markers; test Spearman or linear regression correlation of Cmax/AUC with individual sP‑selectin and aggregation endpoints. 6) Comparisons and ablation: (a) blend150 vs diabetic vehicle (primary); (b) dose‑response trend across blend 50/150/450 (trend test); (c) blend150 vs each single‑plant 150 mg/kg (ablation to test contribution of constituents); (d) blend150 vs aspirin30. 7) Multiplicity: control secondary contrasts with Holm procedure, report exploratory endpoints with FDR. 8) Power inputs: assume diabetic vehicle mean sP‑selectin ≈100 ng/mL, SD ≈25 ng/mL, target Δ≈25 ng/mL; note n=12 gives ~80% power if observed SD is lower; adaptive increase rule will be prespecified in SAP. 9) Data quality checks: predefined assay acceptance criteria, exclude samples failing preanalytic SOPs, and perform sensitivity analyses for outliers.</w:t>
      </w:r>
    </w:p>
    <w:p>
      <w:r>
        <w:t xml:space="preserve"> </w:t>
      </w:r>
    </w:p>
    <w:p>
      <w:pPr>
        <w:pStyle w:val="Heading2"/>
      </w:pPr>
      <w:r>
        <w:t>Risk Factors And Limitations</w:t>
      </w:r>
    </w:p>
    <w:p>
      <w:r>
        <w:t>1) STZ model variability: variable diabetes induction and glucose severity can increase outcome variance and reduce power. 2) Sex generalizability: initial male‑only cohort limits inference to females unless replication added. 3) Phytochemical variability: batch-to-batch differences in plant chemistry may confound dose–response unless strict QC enforced. 4) Low oral bioavailability: phytochemical plasma levels may be below assay LLOQs, preventing PK/PD linkage. 5) Metabolites: phase II metabolites (conjugates) may dominate plasma and require additional assays. 6) Assay sensitivity and preanalytics: platelet activation is highly sensitive to handling; preanalytic failures (delays, temperature) will invalidate samples. 7) Sample volume limits: small blood volumes constrain number of assays per animal and may force use of satellite animals. 8) Multiplicity and small groups: many endpoints and group comparisons increase false positive risk and reduce power for secondary hypotheses. 9) Regulatory translation: Lorke acute screen may be insufficient for GLP toxicology required by regulators. 10) Ethical constraints: animal welfare limits (blood loss, humane endpoints) may restrict repeated measures and longitudinal depth.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