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pos_anomaly_detection_ptb</w:t>
      </w:r>
    </w:p>
    <w:p>
      <w:r>
        <w:t xml:space="preserve"> </w:t>
      </w:r>
    </w:p>
    <w:p>
      <w:pPr>
        <w:pStyle w:val="Heading2"/>
      </w:pPr>
      <w:r>
        <w:t>Title</w:t>
      </w:r>
    </w:p>
    <w:p>
      <w:r>
        <w:t>Statistical anomaly detection to identify annotation errors in a Penn Treebank part-of-speech tagged corpus</w:t>
      </w:r>
    </w:p>
    <w:p>
      <w:r>
        <w:t xml:space="preserve"> </w:t>
      </w:r>
    </w:p>
    <w:p>
      <w:pPr>
        <w:pStyle w:val="Heading2"/>
      </w:pPr>
      <w:r>
        <w:t>Short Hypothesis</w:t>
      </w:r>
    </w:p>
    <w:p>
      <w:r>
        <w:t>Fitting probability distributions over per-tag and sequence features from a manually annotated POS corpus and flagging tokens with low likelihood under those distributions will identify annotation errors with higher precision than surface-form heuristics.</w:t>
      </w:r>
    </w:p>
    <w:p>
      <w:r>
        <w:t xml:space="preserve"> </w:t>
      </w:r>
    </w:p>
    <w:p>
      <w:pPr>
        <w:pStyle w:val="Heading2"/>
      </w:pPr>
      <w:r>
        <w:t>Related Work</w:t>
      </w:r>
    </w:p>
    <w:p>
      <w:r>
        <w:t>Existing methods detect annotation errors by modeling normal behavior and flagging outliers. Sequence-based approaches use conditional tag likelihoods from n-gram, HMM, CRF or BiLSTM-CRF taggers to measure surprisal; lexical methods use per-word tag histograms or P(tag|word) to flag rare pairs; embedding-based approaches fit densities or use k-nearest-neighbor (kNN) scores in contextual embedding space. Nonparametric anomaly detectors such as Isolation Forest and Local Outlier Factor (LOF) have also been applied. Limitations in current work include leakage from using the same data to compute contextual embeddings and evaluate detectors, poor calibration of anomaly scores, mismatch between synthetic corruptions and real annotation errors, lack of document-level holdouts causing optimistic estimates, sparse evidence for rare tags, limited fusion of multiple detector views, and little reporting of cost-sensitive operating points or reproducible pipelines.</w:t>
      </w:r>
    </w:p>
    <w:p>
      <w:r>
        <w:t xml:space="preserve"> </w:t>
      </w:r>
    </w:p>
    <w:p>
      <w:pPr>
        <w:pStyle w:val="Heading2"/>
      </w:pPr>
      <w:r>
        <w:t>Abstract</w:t>
      </w:r>
    </w:p>
    <w:p>
      <w:r>
        <w:t>We address automatic identification of likely annotation errors in a part-of-speech (POS) tagged corpus by using statistical anomaly detection. Our approach fits explicit probability models over multiple feature views derived from a manually marked corpus: tag-sequence surprisal (from n-gram and neural sequence models), lexical tag distributions (P(tag|word)), and contextual-embedding densities. For each view we compute an anomaly score (for example Mahalanobis distance for per-tag embedding densities, token surprisal for sequence models, and kNN or Isolation Forest for nonparametric signals). We then calibrate individual scores and fuse them into a single anomaly probability. We provide a reproducible suite: document-level gold holdouts, a controlled synthetic-corruption generator, and a calibration set for operating-point selection. The main contribution is a practical, leak-aware pipeline that flags anomalous tokens for human review, yields interpretable explanations per token, and allows selection of cost-sensitive thresholds to maximize reviewer time savings. Expected outcome: higher-precision error detection with documented reproducibility and measurable annotation-effort reduction.</w:t>
      </w:r>
    </w:p>
    <w:p>
      <w:r>
        <w:t xml:space="preserve"> </w:t>
      </w:r>
    </w:p>
    <w:p>
      <w:pPr>
        <w:pStyle w:val="Heading2"/>
      </w:pPr>
      <w:r>
        <w:t>Methodology</w:t>
      </w:r>
    </w:p>
    <w:p>
      <w:r>
        <w:t>1. Data splits and gold standards: create document-level train/validation/test splits and a separate small calibration set of 200–500 verified-error tokens. Use double annotation with adjudication to build a clean gold subset. 2. Feature extraction: (a) surface features: word, lemma, suffix; (b) sequence features: tag n-gram counts and token negative log-likelihoods from a CRF or BiLSTM-CRF (surprisal = -log P(tag|context)); (c) lexical statistics: empirical P(tag|word) and tag-histograms; (d) contextual embeddings: compute contextual vectors per token using a frozen pretrained encoder (no fine-tuning on evaluation docs). 3. Anomaly model family (per view): (a) Sequence view: smoothed tag n-gram model and BiLSTM-CRF to produce token surprisal scores; (b) Embedding-density view: per-tag multivariate Gaussian with Ledoit–Wolf shrinkage covariance and Mahalanobis distance (Mahalanobis distance measures how far a vector is from the tag mean in scaled space); optionally low-component Gaussian Mixture Model (GMM) or Kernel Density Estimate (KDE) for flexible shapes; (c) Nonparametric view: kNN distance, Isolation Forest, LOF on embeddings; (d) Lexical view: rarity score from P(tag|word) deviations. 4. Score normalization and calibration: map each view's raw score to a probability-like anomaly score where higher means more anomalous; use isotonic regression on the calibration set to calibrate each detector (isotonic regression is a monotonic mapping learned from calibration pairs). 5. Fusion: stack calibrated scores with an L2-regularized logistic regression trained using nested document-level cross-validation; logistic coefficients give interpretable contribution weights. 6. Threshold selection: define utility = E[TP]*t_fix - E[FP]*t_review where t_fix and t_review are measured annotator times; choose threshold maximizing expected utility via bootstrap confidence intervals. 7. Synthetic corruption suite and alignment: implement controlled corruptions (tag swaps, MWE splits/merges, tokenization errors, case/punct swaps) at fixed rates and RNG seeds; store injection logs for reproducibility. 8. Explainability output: per-token top contributing detectors, top suggested corrections (top-N tags), and nearest held-out neighbors with tags. 9. Reproducibility: Snakemake/DVC pipeline, container image, saved seeds, and CI smoke-test on a small PTB subset.</w:t>
      </w:r>
    </w:p>
    <w:p>
      <w:r>
        <w:t xml:space="preserve"> </w:t>
      </w:r>
    </w:p>
    <w:p>
      <w:pPr>
        <w:pStyle w:val="Heading2"/>
      </w:pPr>
      <w:r>
        <w:t>Experiments</w:t>
      </w:r>
    </w:p>
    <w:p>
      <w:r>
        <w:t>Datasets: Penn Treebank (PTB) sections split by document, Brown corpus slice, and a selected Universal Dependencies (UD) treebank slice for OOD tests. Baselines: (A) surface-form heuristic: flag tokens where current tag != most frequent tag for the surface form; (B) lexical rarity: P(tag|word) threshold; (C) sequence-only: tag n-gram / BiLSTM-CRF surprisal; (D) embedding-only: per-tag Mahalanobis distance; (E) nonparametric: Isolation Forest on embeddings. Proposed model: calibrated fusion of sequence, lexical, and embedding views via stacked logistic regression. Evaluation metrics: precision@k (k=100,500), AUPRC, AUROC, recall@budget (fixed reviewer minutes), Brier score, expected minutes saved per 10k tokens, and ECE (expected calibration error). Setup: use 5×5 document-level nested cross-validation (outer fold for test, inner folds for hyperparameter selection and calibration), fixed RNG seed=42. Calibration: use the reserved 200–500 verified-error tokens. Synthetic corruption experiments: inject errors at rates {0.5%,1%,2%} and report detection performance on mined historical errors vs synthetic. Ablations: remove each view (sequence, lexical, embedding) and remove calibration/fusion to measure contribution. Active-sampling ablation: compare sampling mixes {70/15/10, 80/10/10, 70/20/10} for (anomaly/uncertainty/diversity) by measuring final AUPRC on the held-out test and bias-corrected estimates using logged selection probabilities. Statistical tests: paired bootstrap for metric differences with 95% CIs and McNemar test for paired binary decisions at chosen thresholds.</w:t>
      </w:r>
    </w:p>
    <w:p>
      <w:r>
        <w:t xml:space="preserve"> </w:t>
      </w:r>
    </w:p>
    <w:p>
      <w:pPr>
        <w:pStyle w:val="Heading2"/>
      </w:pPr>
      <w:r>
        <w:t>Risk Factors And Limitations</w:t>
      </w:r>
    </w:p>
    <w:p>
      <w:r>
        <w:t>1. Ambiguous annotations: human disagreement may cause correct but rare labels to appear as anomalies, lowering precision. 2. Historical correction bias: mined corrections may not represent all error types, biasing detector calibration. 3. Embedding leakage: computing contextual embeddings on the same data used in scoring can leak information unless frozen and held-out documents excluded from indices. 4. Calibration data scarcity: rare tags may lack enough calibration examples, producing unstable calibrated scores. 5. Synthetic corruption mismatch: artificial corruptions may not cover real error modes, so simulation results may not predict real performance. 6. Scalability: computing and indexing high-dimensional embeddings for millions of tokens requires large memory and compute; approximate ANN introduces score noise. 7. Active-learning selection bias: prioritized sampling skews retraining data distribution and complicates unbiased evaluation. 8. Privacy and release constraints: publishing error samples requires de-identification and possible IRB review. 9. Generalization limits: models and thresholds tuned on PTB may degrade on different domains or tagsets without recalibration.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