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prob_smooth_attention_mil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Probabilistic Smooth Attention with Graph-based Logit Priors for Deep Multiple Instance Learning in Medical Imaging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Treating attention as a Dirichlet-distributed vector whose concentration parameters are smoothed by a Gaussian Markov random field prior on logits and modulated by a global latent improves bag-level classification AUC and yields better-calibrated instance-level uncertainty than deterministic attention in multiple instance learning for medical imaging.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Multiple instance learning (MIL) methods for medical imaging commonly use simple pooling (max, mean) or deterministic attention mechanisms that produce a single attention score per instance. Bayesian and probabilistic attention ideas exist (for example, attention parameterized by a distribution such as logistic-normal or Dirichlet), but prior approaches typically ignore explicit spatial smoothness between adjacent instances and do not jointly model long-range or global context. Graph-based smoothness priors such as Gaussian Markov random fields (GMRF) have been used for spatial regularization in imaging but are not standardly combined with attention distributions in deep MIL. Logistic-normal attention models capture correlation via a multivariate normal in pre-softmax space but scale poorly with thousands of instances and do not directly enforce locality. Existing approaches therefore lack (1) uncertainty-aware, instance-level calibrated attention; (2) explicit, local spatial coupling that preserves sharp tissue boundaries; and (3) scalable inference techniques and practical gradient recipes for Dirichlet/Gamma attention sampling.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probabilistic attention model for deep multiple instance learning (MIL) in medical imaging that produces spatially smooth, uncertainty-aware instance weights while preserving sharp boundaries and global context. The model represents pre-softmax attention logits h with a Gaussian Markov random field (GMRF) prior based on a graph Laplacian built from physical adjacency and feature k-nearest neighbors. Concentration parameters for a Dirichlet attention distribution are computed as α = softplus(h) + α0 and are modulated by a learned global latent z_g. Bag predictions use a differentiable pooled feature v = Σ_i a_i x_i followed by a small classifier. We optimize a variational ELBO that includes closed-form Gaussian KLs for h and z_g and samples a via a reparameterizable Gamma→Dirichlet route (with a Relaxed-Dirichlet warmup). The main contribution is a practical, scalable probabilistic attention that couples local smoothness and global context, enabling calibrated instance-level uncertainty maps for whole-slide and volumetric medical images. We expect improved bag accuracy, better instance calibration, and clinically useful uncertainty visualizations compared with deterministic attention baselines.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Model overview: Represent each bag (a slide or volume) as N instance features x_i. Encode pre-softmax attention logits h = encoder_h(X) with amortized outputs μ_h and σ_h and set q(h|X)=N(μ_h, diag(σ_h^2)). Define a graph on instances combining spatial neighbors (4-8 grid neighbors) and feature k-NN edges; build adjacency W and Laplacian L = D − W (D diagonal of node degrees). Use prior p(h)=N(0,(λ L + ε I)^{-1}) where λ&gt;0 and ε small. Compute concentration parameters α(h,z_g) = softplus(h) + W_z z_g + α0 where z_g is a learned global latent with q(z_g|X)=N(μ_g,Σ_g) and p(z_g)=N(0,I). Define p(a|h,z_g)=Dirichlet(α). Prediction: pooled feature v = Σ_i a_i x_i and p(y|a,x,z_g)=Bernoulli(σ( w^T v + b + w_g^T z_g )). ELBO: E_{q(h)q(z_g)p(a|h,z_g)}[log p(y|a,x,z_g)] − KL(q(h)||p(h)) − KL(q(z_g)||p(z_g)). Sampling and gradients: sample h via h = μ_h + σ_h ⊙ ε (ε∼N(0,I)). Sample a by sampling independent Gamma variates γ_i ∼ Gamma(α_i,1) via an implicit reparameterization method (use Figurnov-style implicit gradients for Gamma) then set a = γ / Σ γ. As a training warmup use a Relaxed-Dirichlet (Concrete) with temperature τ annealed to produce near-exact Dirichlet samples later. If Gamma reparam is unstable, use logistic-normal: sample v∼N(μ_v,Σ_v), a=softmax(v) as a fallback. Numerical linear algebra: compute KL(q(h)||p(h)) via sparse Gaussian KL formulas. Compute μ^T Q μ with sparse mat-vecs (Q=λL+εI). Estimate tr(Q Σ) by Hutchinson trace estimator and log-determinant terms via stochastic Lanczos quadrature if needed. For solves with Q, use sparse conjugate-gradient (CG). Graph construction: edge weight w_ij = exp(−d_phys^2/(2σ_phys^2))·exp(−d_feat^2/(2σ_feat^2)); optionally downweight edges crossing large feature gradients to preserve boundaries. Scalability: precompute and shard instance embeddings and CSR adjacency per slide; train on subgraphs (GraphSAINT or cluster-GCN) with 5k–20k nodes per batch; use mixed precision. Hyperparameters and defaults: learning rate 1e-3, λ in [0.1,10], α0 in [1,2], KL-anneal linear over 10 epochs, free-bits = 0.2 nats, training MC samples = 4, evaluation MC samples = 32. Explainers: GMRF = Gaussian Markov random field, a prior that prefers nearby nodes (in the graph) to have similar values; Hutchinson estimator = a randomized method to estimate the trace of a matrix by probing with random vectors; Lanczos quadrature = a method to estimate functions of matrices (like log-determinant) using Lanczos iterations.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WSIs: Camelyon16 and Camelyon17, TCGA sub-tasks with slide-level labels. CT: LIDC-IDRI and LUNA16 for nodule-level tasks. Splits: patient-stratified train/validation/test with percentages 70/15/15 and keep a held-out calibration set of 10-15% and an adjudicated gold set (WSI: 150-300 region-level slides and 30-50 pixel masks; CT: 150-200 cases with 30-50 segmentations). Baselines: ABMIL (attention-based MIL), gated-attention MIL, instance-max pooling, logistic-normal attention MIL, deterministic softmax attention. Metrics: bag ROC-AUC with DeLong CIs, sensitivity at fixed specificity (e.g., 95%), negative log likelihood (NLL), Brier score, calibration: expected calibration error (ECE) and reliability diagrams, localization: IoU and localization-AUC on pixel masks, instance-level metrics: instance-ECE, attention entropy, credible-interval coverage (report empirical coverage for nominal 80% and 90% intervals). Statistical tests: paired bootstrap (1000 resamples) for comparisons, report 95% CIs and correct multiple comparisons using Benjamini-Hochberg. Training setup: subgraph batch sizes 5k–20k nodes, lr=1e-3, KL-anneal linear from 0 to 1 over 10 epochs, free-bits=0.2 nats, Relaxed-Dirichlet temperature τ start=1.0 anneal to 0.01 over 30 epochs, MC samples per bag during training=4 (ramp from 1), evaluation samples=32. Early stop on validation AUC with patience 10, max epochs 100. Ablations and comparisons: (A) remove GMRF prior (λ=0) vs full model; (B) ablate global latent z_g; (C) replace Dirichlet attention with logistic-normal attention (low-rank covariance) keeping other parts fixed; (D) replace implicit Gamma reparameterization with Relaxed-Dirichlet permanently to assess bias; (E) vary λ ∈ {0.1,1,10} and α0 ∈ {1,1.5,2}; (F) synthetic planted-signal experiments: generate bags of 1000 nodes with planted lesion nodes ∈ {5,10,20}, SNR ∈ {0.5,1,2,4} and spatial coherence radii ∈ {1,3,7}; measure bag AUC, instance-ECE, localization IoU, and 90% CI coverage on planted lesions. Report per-step wall-clock and GPU memory for representative subgraphs of 5k, 20k, and 100k nodes with ELBO breakdown: forward pass, sampling, KLs, and solver times. Provide qualitative clinician-ready outputs: attention mean heatmap, uncertainty map (entropy or CI width), and top-K tiles with uncertainty bars.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High-variance gradients: implicit reparameterization for Gamma/Dirichlet can be numerically unstable for small α, causing high gradient variance or underflow. Computational cost: sparse CG, Hutchinson probes, and Lanczos quadrature add substantial CPU/GPU time; per-step memory and wall-clock may be large for 20k–100k nodes and must be budgeted. Over-smoothing: a strong Laplacian prior (large λ) can blur attention across boundaries and reduce localization IoU. Non-identifiability: h + GMRF + z_g decomposition may be unidentifiable or only identifiable up to scale/permutation in low signal regimes; stationary isotropic Laplacian assumptions may not hold on heterogeneous tissue. Causality: probabilistic attention is not causal proof of instance-level contribution; attention maps can be confounded by correlated background features. Data and annotation biases: limited or biased pixel-level masks reduce the reliability of instance calibration and evaluation. Edge gating collapse: learnable per-edge offsets can collapse to trivial solutions (suppressing all edges) or create disconnected graphs. Scalability limits: for &gt;1M patches per slide hierarchical and approximation strategies may still be insufficient without large compute budgets. Clinical deployment limits: clinician trust requires rigorous validation beyond attention visualizations; uncertainty metrics may be misinterpreted if not carefully presented. Numerical corner cases: small α values, extreme logits, and underflow/overflow in Gamma sampling can break training. Reproducibility: many stochastic approximations (Hutchinson probes, Lanczos steps, MC samples) can produce variability if their settings are not fixed and reported.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