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hierarchical_xai_mri_distal_myopathy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Hierarchical occlusion and ensemble explainability for MRI-based diagnostic support of distal myopathies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hierarchical occlusion plus an ensemble of explainability methods fused by a trainable module causes higher explanation localization fidelity (higher top-k Dice/IoU and insertion/deletion AUC) and improves radiologist diagnostic performance (higher AUC) compared to a model without hierarchical occlusion or single-explainer visualizations.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explainable AI (XAI) for medical imaging uses per-pixel or per-feature methods such as Grad-CAM (class-discriminative heatmaps), Integrated Gradients (input-gradient attribution), SmoothGrad (noise-averaged gradients), LIME/SHAP (local perturbation-based explanations), and brute-force occlusion (masking patches). Prior ensemble approaches average or weight multiple explainers but typically operate at a single spatial scale and lack anatomy-aware occlusion. Limitations include: weak alignment to hierarchical anatomy (muscle vs compartment vs limb), diffuse or noisy attribution maps, low stability under input perturbations, absence of causal validation (lesion insertion/removal), and scarce clinician-centred evaluation tied to regulatory transparency. Current methods also rarely propagate model uncertainty into explanations or use probabilistic per-rater labels, limiting trust and auditability.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hierarchical occlusion method combined with an ensemble of explainers and a trainable fusion module to produce clinician-oriented, anatomically coherent explanations for MRI-based diagnostic models of distal myopathies. Hierarchical occlusion perturbs inputs at anatomically defined levels (limb, compartment, muscle, voxel) using plausible inpainting/blur to measure causal contribution while preserving anatomy. We fuse heatmaps from multiple explainers (Grad-CAM, Integrated Gradients, SmoothGrad, voxel-SHAP, region-occlusion) using a small trainable network that weights inputs by local fidelity and uncertainty. Explanations are evaluated quantitatively (deletion/insertion AUC, top-k Dice/IoU, stability) and clinically via a pre-registered MRMC reader study with radiologist feedback and regulatory trace artifacts. Expected contributions: (1) an explicit hierarchical occlusion algorithm for anatomy-aware causal attribution, (2) a fusion architecture that improves localization and stability over single explainers, and (3) evidence from radiologist evaluation showing improved diagnostic utility and audit-ready explanation artifacts for regulatory compliance.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curation and labels: collect multi-site MRI pilot (target 100 cases across 3 sites). Store hierarchical annotations: A limb, B compartment, C muscle, D lesion voxels. Keep per-rater masks and build per-voxel probability maps (vote fractions). 2) Model: train a 3D CNN (or 2.5D variant) with two heads: diagnosis (classification) and optional segmentation. Pretrain with self-supervised learning on related MRIs if available. 3) Hierarchical occlusion: define four anatomical levels (A–D). For each level, generate occluders by taking the annotated region and replacing it using a plausible perturbation (blur kernel, context-aware inpainting) rather than black blackout. Occlusion granularity: start with full-region occlusion at A–C and small overlapping patches at D (patch sizes e.g., 8–16 voxels, overlap 50%). Compute change in model output when occluding each region to estimate causal contribution. Explanation of terms: occlusion means masking or replacing part of the image to observe how the model prediction changes. 4) Base explainers: compute Grad-CAM (class-discriminative gradients), Integrated Gradients (path-integrated input gradients), SmoothGrad (average gradients after adding noise), voxel-level SHAP-style perturbations, and region-wise occlusion maps. 5) Fusion network: stack normalized heatmaps and per-explainer uncertainty maps as multi-channel input to a small CNN or MLP with spatial smoothing output. Loss terms: fidelity to hierarchical soft-labels (soft Dice or weighted L2 on top-k attribution mass), L2/L1 on fusion weights, total-variation spatial smoothness, and a domain-robustness adversarial term. 6) Training schedule: train diagnostic model on training pool (60%); freeze model and compute explainer maps on fusion-train hold-out (10–15%) to train fusion network; reserve MRMC hold-out (20%) and external stress-test (5–10%) for evaluation. 7) Uncertainty: estimate predictive uncertainty via an ensemble or MC-dropout; compute attribution variance by bootstrapping explainers or ensembling. Propagate uncertainty to final maps and display confidence scores. 8) Clinical integration: generate overlays with four-level navigation, uncertainty overlay, and concise textual rationale. Collect radiologist ratings and time-to-decision in MRMC study. 9) Provenance: log model version, seeds, explainer parameters, input ID, and visualization parameters in an Explanation Audit Trail (human-readable JSON).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Pilot: 100 cases from 3 sites (≈50 distal myopathy, 50 controls/other NMD). Splits (patient-level): train pool 60%, fusion-train hold-out 10–15% (only for fusion training), MRMC hold-out 20% (reserved for reader study, never used in training), external stress-test 5–10% from independent site. Baselines: (1) diagnostic model without XAI overlays; (2) model + single explainers individually (Grad-CAM, Integrated Gradients, SmoothGrad, voxel-SHAP, region occlusion); (3) model + simple average fusion of explainers; (4) randomized-explainer null (spatially permuted heatmaps). Ablations: remove hierarchical occlusion, change occluder type (blackout vs blur/inpaint), remove each explainer from ensemble, compare fusion network vs linear weighting. Metrics: explanation fidelity: deletion and insertion AUC (area under change-in-score curves when removing/adding top-k pixels); localization: top-k Dice and IoU between top attribution region and annotated lesions; stability: Spearman rank correlation of attribution maps under small input perturbations; causal sensitivity: attribution-mass shift after lesion-insertion/removal; clinical: diagnostic AUC, sensitivity/specificity, time-to-decision, trust/usefulness Likert. Statistical setup: MRMC reader-study, within-reader crossover (no model, model-only, model+XAI), randomized order with washout. Pilot readers: 8 experts for variance estimates; confirmatory: 12–16 readers. Power assumptions: baseline reader AUC=0.80, target detectable AUC gain=0.05, between-reader variance components similar to literature; confirmatory sample 200 cases and 12 readers approximates 80% power to detect 0.05 AUC change (bootstrap 1000 iterations to confirm). Analysis: Obuchowski-Rockette/DBM MRMC for AUC comparisons; logistic mixed models for binary outcomes; bootstrap/permutation tests for explainability metrics. Robustness tests: vendor, field strength (1.5T vs 3T), motion/SNR degradation, fat/water swaps, registration error, adversarial noise; runtime tests: measure median and 95th percentile full-ensemble latency on GPU (target &lt;2 s) and CPU (target &lt;15 s). Pre-registration: seeds, splits, SAP, and code containers prior to fusion tuning. Ablation study: compare full pipeline vs each baseline/ablation using same data splits and report effect sizes with 95% CIs.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Annotation variability: inter-rater disagreement at muscle/voxel levels may reduce fidelity of soft-labels and confound fusion training. 2) Limited sample size and site heterogeneity: pilot data may not cover all vendor/field-strength variability, limiting generalization. 3) Overfitting of fusion: fusion network may learn site-specific cues if fusion-train hold-out is not representative. 4) Computational cost: ensemble explainers plus fusion increase latency and resource needs, possibly exceeding clinical constraints. 5) Occlusion artefacts: inpainting/blur perturbations may introduce unrealistic features affecting causal estimates. 6) Stability and adversarial vulnerability: explanations may be unstable under small input shifts or adversarial noise. 7) Human factors: clinicians may misinterpret overlays, leading to overreliance or confusion. 8) Privacy/regulatory risk: explanation artifacts may leak sensitive patterns; differential privacy may reduce utility. 9) Statistical risks: MRMC power assumptions may be optimistic; subgroup analyses may be underpowered. 10) Deployment limits: UI rendering, fail-safe timeouts, and audit logging may need engineering beyond research scope.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