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cmrxmotion_motion_robust_segmentation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Uncertainty-aware deep learning for robust myocardial segmentation and automated image-quality assessment of cardiac cine MRI under respiratory motion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Incorporating k-space–validated motion augmentations, probabilistic multi-reader label fusion, and uncertainty-aware training into deep-learning models causes a statistically significant improvement in myocardial segmentation Dice and image-quality-assessment macro-F1 on cardiac cine MRI with respiratory motion compared to models trained without these components.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cardiac cine MRI focuses on (1) supervised myocardial segmentation using U-Net variants and temporal fusion, (2) automated image-quality assessment (IQA) using frame-level classifiers, (3) synthetic motion augmentation applied in image space, and (4) label-fusion methods (e.g., STAPLE) and uncertainty estimation techniques (ensembles, MC dropout). Limitations include: most augmentations are performed in image space and do not reflect true k-space physics of motion, leading to unrealistic artifacts; single-reader labels or simple majority voting ignore per-voxel uncertainty from motion; many methods ignore through-plane displacement and temporal inconsistency; IQA labels are often subjective and lack quantitative motion thresholds; and reproducibility is limited by non-deterministic pipelines and missing containerized evaluation. Reconstruction-aware approaches and validated augmentation-to-physic pipeline coupling remain underexplored.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degrades cardiac cine MRI and reduces reliability of automated myocardial segmentation and image-quality assessment (IQA). We propose a reproducible challenge-driven approach that combines a controlled-motion dataset with algorithmic methods to improve robustness under motion. Our approach blends k-space–validated motion augmentations (so simulated motion matches physics), probabilistic multi-reader label fusion to capture annotation uncertainty, and uncertainty-aware deep networks that output per-voxel confidence maps. We provide explicit evaluation rules: primary segmentation metric is mean LV endocardial+epicardial Dice across frames and primary IQA metric is macro F1 across severity bins. Main contributions are (1) a validation pipeline that enforces k-space realism for augmentations, (2) integration of probabilistic labels and uncertainty into training and leaderboard CI computation, and (3) containerized baseline models and a pre-registered statistical analysis plan. We expect improved segmentation and IQA performance on motion-degraded exams, with calibrated uncertainty that better identifies cases needing human review.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preparation: use a controlled-motion cardiac cine MRI dataset where motion trajectories (amplitude, frequency) are recorded and stored in BIDS-style JSON sidecars. Provide per-case multi-reader contours and store raw multi-coil k-space when permitted. 2) K-space augmentation: implement motion by modulating k-space phases and view-order in simulation code. Validate augmentations by comparing image-space SSIM and LPIPS to matched real-motion acquisitions and by comparing k-space power spectral density (PSD). SSIM measures structural similarity (0 to 1), LPIPS measures perceptual difference, and PSD compares frequency content. 3) Label fusion and uncertainty: obtain three independent expert contours per case and fuse them with STAPLE or a hierarchical Bayesian fusion to produce per-voxel posterior probabilities (soft labels). Soft labels represent the probability that a voxel belongs to a class. 4) Model design: implement three baseline models: (a) 2D+time nnU-Net with temporal fusion (frame encoder + temporal attention), (b) motion-aware 2D U-Net with an auxiliary motion-displacement branch that predicts short-term flow or shift, and (c) short-window 3D U-Net for temporal context. For IQA implement a frame-embedding CNN plus a lightweight transformer/time-pooling classifier. 5) Training with uncertainty: train models with a soft-label Dice+cross-entropy loss that uses fused posterior maps as targets and include an uncertainty-aware regularizer (e.g., higher loss weight where label probability is high). Add MC dropout or small ensembles to produce predictive uncertainty maps. 6) Calibration: apply temperature scaling to calibrate predicted probabilities. 7) Reproducibility and evaluation: containerize training and inference (Docker/Singularity), fix deterministic flags and seeds, and provide CI checks. Compute bootstrap confidence intervals that sample fused soft labels during resampling to propagate label uncertainty. 8) Documentation: publish augmentation parameter ranges, validation scripts, metadata schema, and pre-registered analysis plan.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controlled-motion CMRxMotion dataset (training/validation/test) with per-case motion logs and multi-reader contours; held-out multi-site external set for generalization. Splits: subject-level, site-stratified, and chronology holdout; confine all k-space/reconstruction variants to same split. Baselines: (A) nnU-Net 2D+time (shared encoder, temporal attention), (B) motion-aware 2D U-Net with displacement branch and spatial transformer, (C) short-window 3D U-Net, (D) IQA CNN+transformer classifier. Ablations: remove k-space augmentations, replace k-space with image-space augmentations, remove probabilistic fusion (use majority vote), and disable uncertainty-aware loss. Evaluation metrics: primary segmentation = mean LV endo+epi Dice across frames; primary IQA = macro F1 across mild/moderate/severe bins. Secondary metrics: 95% Hausdorff distance, average surface distance (ASD), temporal consistency (mean frame-to-frame Dice), EF and ESV error (absolute bias), slice-matching error (mm). Statistical tests: pre-register primary hypothesis per task; use stratified paired bootstrap (1000 iterations) across subjects for CIs; test metric differences with two-sided paired bootstrap p-values and control multiplicity with Benjamini–Hochberg FDR at 0.05 across planned comparisons. Runtime and reproducibility: run training/inference under single-GPU (16 GB) constraint for leaderboard; provide heavyweight track results separately. Report: per-case uncertainty maps, heatmaps, and failure-mode labels for top submissions. Success criteria: significant improvement in primary metrics over baseline (FDR-corrected p&lt;0.05) and calibrated predictive uncertainty (ECE reduction).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Label noise and bias: multi-reader labels may still disagree in high-motion regions; probabilistic fusion may not fully capture systematic reader bias. 2) Augmentation mismatch: k-space simulations may not cover all real motion physics, producing distributional gaps. 3) Motion severity thresholds: defining mild/moderate/severe from measured quantities may be arbitrary and not fully generalizable. 4) Privacy and legal constraints: sharing raw k-space and traces may be restricted by laws (GDPR/HIPAA) or site policies, limiting dataset release. 5) Compute limits: single-GPU caps may disadvantage large 3D/reconstruction-aware models and reduce fairness. 6) Leakage and confounding: site/vendor imbalance or reconstruction variants could leak information across splits. 7) Reproducibility fragility: deterministic flags may not guarantee identical results across hardware or library versions. 8) Clinical translation limits: improved Dice or IQA metrics may not map directly to clinical decision impact (EF/strain changes may remain small).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