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memory_wavelet_us_seg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Memory-bank and wavelet-based network for long ultrasound video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a two-tier memory bank and a high-frequency wavelet convolution branch to a video segmentation network will increase per-video mean Dice by ≥2% and reduce frame-to-frame IoU drift by ≥10% compared to a UNet-3D with temporal smoothing on long ultrasound videos.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ultrasound video segmentation include frame-wise deep segmentation (2D UNet variants), short-term temporal models (ConvLSTM, 3D UNets) and recent methods that add frequency-aware layers or external memory modules. Frame-wise methods ignore long-term context and produce temporally inconsistent masks. Short-term temporal models capture only limited context (few frames) and struggle with slowly evolving appearance or long occlusions. Prior wavelet or multi-scale frequency methods emphasize low-frequency structures but often do not preserve high-frequency details needed for small-object boundaries in ultrasound. Memory-bank methods used in other domains store long-term context but have been applied rarely to ultrasound; when used, they either use single-tier memories (coarse only) or lack explicit high-frequency storage, leading to poor small-object recall and boundary fidelity. Limitations across prior work are: limited long-term dependency modeling, weak high-frequency detail fusion, and lack of streaming-friendly memory and runtime analyses.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Ultrasound clinical workflows increasingly rely on long video recordings where small structures and fine boundaries are diagnostically important. We propose a segmentation network that combines a two-tier memory bank with a wavelet-based convolution branch to fuse multi-scale spatiotemporal features and emphasize high-frequency details. The wavelet branch decomposes feature maps into low- and high-frequency subbands (low-frequency = coarse shapes; high-frequency = edges and small objects) and processes each with lightweight convolutions. The two-tier memory stores coarse global context in a global memory and high-frequency residuals in a local sliding memory, and an attention-based fusion reads both memories to inform the current frame. Main contribution: an integrated architecture and training recipe that explicitly models long-term dependencies while preserving high-frequency detail in streaming long ultrasound videos. We expect improved per-video Dice, higher small-object Dice, and reduced temporal drift without prohibitive runtime overhead, enabling more temporally stable and detailed segmentation for clinical review.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preprocessing: load DICOM video frames, convert to consistent pixel spacing and intensity normalization; produce frame sequences with metadata (frame rate, probe type). 2) Backbone encoder-decoder: standard encoder extracts multi-scale feature maps (feature = tensors of shape B×C×H×W). 3) Wavelet convolution branch: apply a discrete wavelet transform (DWT) on backbone features to produce four subbands: LL (low-low, coarse), LH/HL (mixed), HH (high-high, high-frequency edges). DWT explanation: it is a fast filter+downsample operation that separates coarse vs detail content. Process each subband with small learnable 3×3 convolutions; upsample subbands back to original spatial size; fuse subbands by channel concatenation followed by 1×1 convolution to produce a high-frequency-enhanced feature map. Modes: fixed wavelets (Haar/Db4), hybrid (fixed base + small learnable residual filters), or fully learnable wavelet filters. 4) Two-tier memory bank: global memory M_g (S_g slots) stores coarse context; local memory M_l (S_l slots) stores high-frequency residuals for a sliding temporal window. Read: compute queries Q from current fused features; attention weights a_g = softmax(Q K_g^T / sqrt(d)), r_g = a_g V_g; similarly a_l, r_l from local memory; fused read r = concat(r_g, r_l) then projected and gated into decoder. Write: form V_write from current features; compute write gate w = sigmoid(W_w [Q; read] + b); update M &lt;- M * (1 - w) + w * V_write. Pruning: periodically remove slots with low cosine similarity to recent queries. 5) Fusion into decoder: use gated cross-attention to combine memory read r with decoder features; gating allows selective emphasis of HF or LF information. 6) Losses: primary Dice loss per-structure, plus binary cross-entropy, boundary-aware loss (e.g., Hausdorff surrogate), and memory sparsity regularizer (L1 on write magnitudes). 7) Training regime: mixed precision, SGD with momentum, cosine LR schedule; data augmentation includes spatial transforms and temporal jitter. 8) Inference: streaming mode processes frames sequentially, updates local memory sliding window, and reads global memory; log retrieval confidences for interpretability.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multi-site clinical ultrasound video collection with at least two independent sites; per-site target 150–200 videos for primary experiments. Include B-mode and Doppler when available. Preprocess to fixed frame rate or record fps in metadata. Splits: per-site stratified 60/20/20 train/val/test, plus one held-out external site for final validation. Baselines: (1) UNet-3D with temporal smoothing (primary comparator), (2) ConvLSTM encoder-decoder, (3) strong frame-wise method (nnUNet 2D) run per-frame with temporal post-smoothing. Metrics: per-video mean Dice (primary), small-object Dice (objects below predefined pixel-area thresholds), temporal stability measured as mean frame-to-frame IoU drift, boundary F1, Hausdorff-95, calibration (expected calibration error), and runtime latency (ms/frame). Experimental setup: train with SGD momentum 0.9, initial LR 0.01, cosine annealing, mixed precision, batch sizes tuned to GPU memory (typical 4–16), 100 epochs with early stopping on val Dice. Ablation studies: A1 disable memory bank (wavelet-only), A2 single-tier memory (global only), A3 two-tier vs single-tier with same param budget, A4 fixed vs hybrid vs learnable wavelets, A5 fusion methods (concat vs attention vs gated). Statistical tests: paired Wilcoxon signed-rank for primary contrasts, bootstrap 95% CIs, report effect sizes; predefine MCIDs: major Dice +2% and small-object Dice +3–5%. Report per-device/site stratified results and final held-out site performance. Logging: store seeds, checkpoints, training logs, and profiling outputs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bias and confounding: multi-site heterogeneity, device differences, and pathology imbalance can bias results and limit generalization. 2) Annotation limits: interpolated masks or uncertain frames reduce ground-truth fidelity for small objects. 3) Memory saturation and drift: memory bank may accumulate irrelevant or noisy content, causing retrieval errors or catastrophic overwrites. 4) Computational cost: attention reads scale with slots×dim and may increase latency beyond clinical targets on edge devices. 5) Learnable-wavelet instability: learnable filter bases may collapse or become non-invertible without proper constraints. 6) Overfitting to site-specific artifacts: model may exploit device-specific speckle patterns rather than anatomy. 7) Evaluation sensitivity: Dice may not capture boundary or clinical relevance for very small structures. 8) Deployment limits: streaming synchronization, memory checkpointing across distributed training, and real-time requirements on embedded hardware may be challenging. 9) Ethical/regulatory: PHI leakage in DICOM handling and variable IRB rules across sites may restrict data sharing.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