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disentangled_anatomy_pseudohealthy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Unsupervised brain MRI anomaly detection via disentangled anatomy learning and edge-to-image pseudo-healthy reconstruction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Learning a disentangled representation that separates per-voxel anatomy maps from imaging-specific latent factors and using an edge-conditioned restoration to produce pseudo-healthy images will increase lesion-wise sensitivity at 0.5 false-positives per scan in leave-one-center-out evaluation compared to standard reconstruction or patch-based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unsupervised anomaly-detection methods for brain MRI fall into three main classes: reconstruction-based autoencoders/VAEs that use image reconstruction residuals to flag anomalies, patch- or memory-based methods (e.g., PatchCore) that compare local patches to a healthy bank, and adversarial/conditional pseudo-healthy GANs that attempt to map abnormal images to healthy-looking images. Limitations of current approaches include (1) leakage of scanner or modality information into learned 'anatomy' representations, which creates center-specific artifacts and reduces generalization; (2) over-smoothing of reconstructions that removes fine lesion detail and reduces sensitivity to small lesions; (3) weak mechanisms to enforce anatomical plausibility or to use clinical priors (atlases) without introducing bias; and (4) lack of systematic diagnostics for disentanglement (mutual-information checks) and limited multi-center LOCO evaluation. Prior disentanglement approaches exist but often lack robust leakage metrics and do not combine edge-driven restoration with atlas priors for pseudo-healthy synthesis.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an unsupervised method for detecting brain MRI anomalies that explicitly disentangles anatomical structure from imaging-specific factors and reconstructs high-fidelity pseudo-healthy images using edge-derived anatomy. The method has two modules: (1) a disentangled anatomy encoder that produces a discrete, per-voxel anatomy map via a differentiable one-hot operator and a compact imaging latent z; and (2) an edge-to-image restoration decoder that reconstructs pseudo-healthy MRIs by using multi-scale high-frequency edge cues and recoupling imaging factors, producing anomaly maps from reconstruction residuals. Training uses atlas-informed soft priors to guide anatomy channels, an InfoNCE surrogate to penalize mutual information leakage, and an adversarial/restoration loss to preserve texture. We evaluate multi-center robustness with leave-one-center-out folds and lesion-wise sensitivity at a fixed false-positive rate. The main contribution is a practical, testable pipeline combining disentanglement, anatomical priors, and edge-guided restoration to improve unsupervised lesion detection across centers and modalities.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Preprocessing: apply skull-stripping, N4 bias correction, and intensity standardization (WhiteStripe or Nyul) per modality; register to a common space (for atlas alignment) while keeping a native-resolution branch for edge extraction. Anatomy module: train a 3D encoder that outputs per-voxel logits for K discrete channels; convert logits to soft one-hot maps using Gumbel-Softmax (a differentiable approximation to choosing one channel per voxel; temperature annealed from 1.0 to 0.1). Imaging module: train a separate encoder to produce a low-dimensional Gaussian latent z (mean and variance). Decoder / edge-to-image restorer: build a conditional U-Net that takes the relaxed one-hot anatomy maps and a multi-scale edge pyramid (handcrafted Canny/LoG + learned edge features) and conditions on z via FiLM or AdaIN layers to reconstruct a pseudo-healthy image. Losses: reconstruction L1 + MR-adapted perceptual features + MS-SSIM; Latlas = per-voxel categorical KL between anatomy maps and a probabilistic atlas (soft prior); Ledge = L2 alignment of image and predicted edge maps + boundary Dice; LKL for z; LMI = InfoNCE (contrastive) term to minimize mutual information between anatomy maps and z during training; optional PatchGAN adversary ramped after warm-up. Training schedule: warm-up (no adversary) for ~50 epochs, ramp adversary over next 20 epochs, track channel usage and per-voxel entropy to detect collapse. Diagnostics: run KSG (Kraskov) on low-dim channel summaries and MINE offline on representation subsets with permutation CIs to quantify leakage. Inference: produce anatomy maps, pseudo-healthy image, and anomaly map = original − pseudo-healthy; postprocess anomaly map (small-cluster removal) and threshold for lesion proposals.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assemble healthy training pool from multi-center public sets (examples: IXI, OASIS, ADNI) to total 500–1,000 healthy scans across ≥5 centers; pathology test sets: BraTS (tumor) and ATLAS (stroke) plus additional MS lesion sets where available, each with ≥50 lesions per pathology type (preferably ≥100 for small-lesion power). Splits: leave-one-center-out (LOCO) folds by scanner/center. Baselines: (1) VAE/AE reconstruction residual detector, (2) PatchCore (patch-based retrieval), (3) conditional pseudo-healthy GAN (image-to-healthy mapping). Metrics: primary = lesion-wise sensitivity at 0.5 FP/scan (LOCO aggregated) with 95% bootstrap CIs (1,000 resamples); secondary = FROC, voxel AUC (DeLong CI), AUCPR, lesion precision/recall, Dice and HD95 of reconstructed anatomy in healthy regions, calibration (ECE/Brier), and leakage diagnostics: scanner-classifier AUC on anatomy maps and MI estimates (KSG/MINE) with permutation CIs. Experimental setup: train the proposed model on healthy scans only; evaluate LOCO folds reporting metrics per center and aggregated. Ablation studies: (A) remove atlas prior (Latlas=0), (B) remove edge loss and multi-scale edges, (C) remove MI penalty/adversary, (D) vary K ∈ {8,16,32}, (E) vary z-dim ∈ {8,32,64}; compare each ablation to full model on lesion sensitivity and leakage metrics. Statistical tests: DeLong for ROC AUC comparisons, bootstrap CIs for lesion sensitivity, and paired Wilcoxon or permutation tests for ablation paired comparisons. Reader study: 3–5 blinded neuroradiologists on 100 cases (≈50 pathology +50 controls) to rate pseudo-healthy realism (5-point) and binary detectability; report Fleiss' kappa and correlate with quantitative metrics.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Mutual-information surrogate failure: InfoNCE depends on negative sampling and temperature; it can collapse to trivial encodings that appear disentangled but are not (constant z), causing hidden failure modes. Atlas-induced false negatives: strong atlas priors can overpower subtle lesions, especially in regions with natural variability or misregistration, leading to missed lesions. Gumbel‑Softmax collapse: channel underuse or collapse (few channels dominating) can reduce anatomical expressivity and miss localized anomalies. Edge reliability: edges degrade under low SNR or motion; poor edges reduce restoration fidelity and small-lesion detection. Computational cost: offline MINE/KSG diagnostics and full LOCO evaluation are expensive and may limit CI frequency. Data/evaluation bias: public datasets may not cover all scanner vendors, age groups, or pathologies; LOCO may still not capture real-world deployment shifts. Reader variability: clinical validation via reader studies can be subjective and require careful protocol. Generalization limits: model trained on adult brains may not generalize to pediatric, post-operative, or grossly atypical anatomy without retraining. Ethical/data governance: multi-center data sharing and preprocessing choices can introduce privacy and regulatory constraints.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