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lctfound_diffusion_multimodal</w:t>
      </w:r>
    </w:p>
    <w:p>
      <w:r>
        <w:t xml:space="preserve"> </w:t>
      </w:r>
    </w:p>
    <w:p>
      <w:pPr>
        <w:pStyle w:val="Heading2"/>
      </w:pPr>
      <w:r>
        <w:t>Title</w:t>
      </w:r>
    </w:p>
    <w:p>
      <w:r>
        <w:t>Diffusion-based multimodal lung CT foundation model for multi-task imaging, reconstruction, and diagnosis</w:t>
      </w:r>
    </w:p>
    <w:p>
      <w:r>
        <w:t xml:space="preserve"> </w:t>
      </w:r>
    </w:p>
    <w:p>
      <w:pPr>
        <w:pStyle w:val="Heading2"/>
      </w:pPr>
      <w:r>
        <w:t>Short Hypothesis</w:t>
      </w:r>
    </w:p>
    <w:p>
      <w:r>
        <w:t>Pretraining a lung CT foundation model using diffusion-based self-supervision with physics-consistency losses and clinical metadata conditioning will improve downstream performance (segmentation Dice, diagnostic AUC, and reconstruction HU MAE) on held-out centers compared to models pretrained without diffusion, physics losses, or metadata conditioning.</w:t>
      </w:r>
    </w:p>
    <w:p>
      <w:r>
        <w:t xml:space="preserve"> </w:t>
      </w:r>
    </w:p>
    <w:p>
      <w:pPr>
        <w:pStyle w:val="Heading2"/>
      </w:pPr>
      <w:r>
        <w:t>Related Work</w:t>
      </w:r>
    </w:p>
    <w:p>
      <w:r>
        <w:t>Existing approaches include supervised U-Net and transformer variants trained on labeled CT for segmentation and detection, unsupervised/self-supervised methods (contrastive learning, masked-image modeling) for representation learning, diffusion models for image synthesis/denoising, and physics-aware reconstruction methods (MBIR, learned primal-dual). Prior diffusion work often targets 2D natural images or isolated low-level tasks and lacks large-scale, multi-center CT pretraining. Contrastive and masked-image approaches improve representations but rarely incorporate clinical metadata or sinogram consistency. Physics-aware reconstruction methods improve fidelity but are typically task-specific and not combined with large-scale generative pretraining. Privacy work applies DP to small models or analytics but not to large multi-task CT foundations. Limitations: dependence on labeled data, narrow task scope, poor cross-center generalization, limited integration of acquisition physics (sinograms) during pretraining, weak multimodal handling (missingness/noise), and scarce privacy–utility experiments for large pretraining.</w:t>
      </w:r>
    </w:p>
    <w:p>
      <w:r>
        <w:t xml:space="preserve"> </w:t>
      </w:r>
    </w:p>
    <w:p>
      <w:pPr>
        <w:pStyle w:val="Heading2"/>
      </w:pPr>
      <w:r>
        <w:t>Abstract</w:t>
      </w:r>
    </w:p>
    <w:p>
      <w:r>
        <w:t>We propose a lung CT foundation model pretrained with diffusion-based self-supervision and multimodal joint encoding to enable a single backbone to be adapted across reconstruction, enhancement, segmentation, diagnosis, and prognosis tasks. The model learns from a curated multi-center LungCT-28M corpus by combining a conditional diffusion objective (denoising/ inpainting) with physics-consistency terms derived from a differentiable CT forward model and clinical metadata conditioning. Metadata (demographics, protocol, and time-series) are tokenized and fused via cross-attention and FiLM variants; missing values are encoded explicitly. The main contribution is a scalable pretraining recipe that integrates generative diffusion learning, physics losses (sinogram and HU fidelity), and metadata guidance to improve robustness and generative capacity under label scarcity. We expect the pretrained model to yield higher segmentation Dice, improved diagnostic AUC, and lower reconstruction HU error on held-out centers than baselines lacking diffusion, physics, or multimodal conditioning, while enabling controlled privacy experiments (DP budgets). This approach aims to produce a reusable CT backbone for many downstream clinical imaging tasks.</w:t>
      </w:r>
    </w:p>
    <w:p>
      <w:r>
        <w:t xml:space="preserve"> </w:t>
      </w:r>
    </w:p>
    <w:p>
      <w:pPr>
        <w:pStyle w:val="Heading2"/>
      </w:pPr>
      <w:r>
        <w:t>Methodology</w:t>
      </w:r>
    </w:p>
    <w:p>
      <w:r>
        <w:t>1) Data and provenance: curate LungCT-28M with per-study fields (center, vendor, kVp, CTDIvol, slice thickness, kernel, contrast phase, demographics). For centers missing sinograms, create vendor-matched simulated projections using geometry from DICOM tags and Siddon ray-tracing (simple ray path integrator). 2) Pretraining objective: use conditional diffusion (DDPM-style denoising) that predicts clean volumes from noisy inputs. Loss terms: L_den = expected denoising L2 (mean squared error on predicted noise), L_HU = voxel-wise HU fidelity (L1 or L2 on Hounsfield Units), L_sino = sinogram-domain L2 between forward-model projections of predicted volume and observed/simulated sinograms, and L_contrast = patient-level contrastive loss (pull clinical-similar cases together). Total loss = w1*L_den + w2*L_HU + w3*L_sino + w4*L_contrast. 3) Classifier-free guidance: during pretraining randomly drop metadata conditioning with probability p (train both conditional and unconditional paths). At sampling time apply guidance by scaling conditional component (guidance scale s). Classifier-free guidance is: produce conditional prediction x_c and unconditional x_u and combine to steer samples. 4) Metadata encoding: tokenize categorical features (one-hot then linear embed), normalize continuous features (z-score per-center) and encode time-series via simple positional encodings; embed missingness as learned mask tokens concatenated to embeddings. Two fusion options: early fusion (FiLM—feature-wise affine modulation at encoder input) and bottleneck fusion (cross-attention in transformer U-Net bottleneck). 5) Annotation uncertainty: when multiple annotators exist convert votes to soft labels (probability maps). Use label smoothing and an annotation-aware loss that weights supervision by annotator confidence. 6) DP and privacy: do not apply DP to backbone pretraining initially; apply DP-SGD to task-specific heads and metadata embeddings with budgets ε ∈ {∞,3,1}, δ = 1e-5. 7) Physics forward model: differentiable projection operator implementing geometry, simple polyenergetic beam-hardening approximation, and Poisson+Gaussian noise model; expose parameters for augmentation but constrain learning with physics priors. 8) Training schedule and convergence: staged pretraining — prototype on subset (2–4 weeks, 8 GPUs), medium-scale pretrain (32 GPUs), full-scale (64 GPUs). Convergence criteria: validation denoising loss plateau (no improvement &gt;0.5% in 3 consecutive checkpoints) and downstream proxy metrics (validation Dice/AUC/HU MAE exceeding baseline by predefined thresholds). 9) Reproducibility: record seeds, container images, dataset hashes, and hyperparameter matrix. Explainers: DDPM (diffusion model that learns to reverse a noise process), FiLM (scales and shifts features based on metadata), cross-attention (let metadata query image features to modulate them).</w:t>
      </w:r>
    </w:p>
    <w:p>
      <w:r>
        <w:t xml:space="preserve"> </w:t>
      </w:r>
    </w:p>
    <w:p>
      <w:pPr>
        <w:pStyle w:val="Heading2"/>
      </w:pPr>
      <w:r>
        <w:t>Experiments</w:t>
      </w:r>
    </w:p>
    <w:p>
      <w:r>
        <w:t>Datasets: primary: LungCT-28M multi-center corpus (use centers with sinograms as sinogram cohort); supplemental: LIDC-IDRI for nodules and a public low-dose CT dataset for reconstruction. Splits: leave-two-centers-out cross-validation for development, reserve ≥3 fully held-out centers for final testing. Downstream tasks and target sample sizes: segmentation (≥500 lesion instances per common class), nodule detection/classification (~1,000 patients with ≥200 positives), reconstruction/enhancement (≥300 paired studies), sparse-view reconstruction (≥200 cases), prognosis (~500 patients with ~200 events). Baselines: 1) supervised U-Net with transformer blocks trained from scratch; 2) pretrained backbone via contrastive learning or masked-image modeling (no diffusion); 3) diffusion pretraining without physics losses; 4) physics-only reconstruction methods (MBIR, learned primal-dual); 5) FBP + neural post-processing. Metrics: segmentation Dice, HD95, volumetric bias (%), detection AUC, FROC/LROC, reconstruction PSNR, SSIM, HU MAE (mean absolute error in Hounsfield Units), calibration ECE, prognosis c-index. Experimental setup: train models with identical downstream heads and training recipes; use mixed precision, AdamW, learning rate schedule, gradient checkpointing; fix random seeds and containers. Ablation studies (each ablation run with same seed and held-out centers): A) remove L_sino (physics loss) vs full loss; B) remove metadata conditioning vs full; C) fusion mode: early FiLM vs bottleneck cross-attention; D) diffusion hyperparameters: timesteps T ∈ {100,200,1000}, noise schedule linear vs cosine; E) classifier-free guidance scale s ∈ {1.0,1.5,2.0}; F) metadata missingness encoding: learned mask token vs binary indicator; G) DP experiments: budgets ε=∞,3,1 measuring utility drop. Reader study: blinded multi-reader design, 3–5 radiologists, 100–200 cases with balanced prevalence (per-power calc targeting 80% power to detect 5% absolute sensitivity change at α=0.05). Evaluation protocol: report per-center metrics, subgroup breakdowns by vendor/protocol/demographics, and statistical tests (paired bootstrap for AUC/Dice differences; confidence intervals). Compute estimate: prototype pretrain ~5–10k GPU-hrs on 8×A100; medium pretrain ~20–40k GPU-hrs on 32×A100; record exact GPU‑hrs and costs per run.</w:t>
      </w:r>
    </w:p>
    <w:p>
      <w:r>
        <w:t xml:space="preserve"> </w:t>
      </w:r>
    </w:p>
    <w:p>
      <w:pPr>
        <w:pStyle w:val="Heading2"/>
      </w:pPr>
      <w:r>
        <w:t>Risk Factors And Limitations</w:t>
      </w:r>
    </w:p>
    <w:p>
      <w:r>
        <w:t>1) Data heterogeneity: incomplete or inconsistent protocol metadata and missing sinograms may reduce physics-loss effectiveness. 2) Label noise: annotator disagreement may limit achievable supervised performance; soft labels help but do not eliminate bias. 3) Privacy–utility tradeoff: applying DP may degrade performance beyond acceptable clinical margins, especially at low ε. 4) Compute and cost: full-scale diffusion pretraining is expensive (tens of thousands GPU-hrs), limiting reproducibility for groups without similar resources. 5) Physics-model mismatch: simplified forward models may not capture all vendor-specific effects (scatter, motion), harming sinogram losses. 6) Generalization: despite multi-center data, model may still underperform on out-of-distribution centers or rare subgroups. 7) Attack surface: diffusion outputs could enable reconstruction attacks if not carefully gated; red-team tests may reveal vulnerabilities. 8) Regulatory limits: generative outputs for clinical tasks (virtual CTA, enhancement) may face higher regulatory scrutiny. 9) Scalability of annotation: achieving required IRR for many tasks requires substantial expert time and is a bottleneck. 10) Evaluation bias: reader studies and external validation require careful design; small reader pools or case mixes can produce misleading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