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remote_personalized_nutrition_rct</w:t>
      </w:r>
    </w:p>
    <w:p>
      <w:r>
        <w:t xml:space="preserve"> </w:t>
      </w:r>
    </w:p>
    <w:p>
      <w:pPr>
        <w:pStyle w:val="Heading2"/>
      </w:pPr>
      <w:r>
        <w:t>Title</w:t>
      </w:r>
    </w:p>
    <w:p>
      <w:r>
        <w:t>A fully remote randomized controlled trial comparing personalized, personalized-plus-food-box, and generic digital nutrition advice for adults with overweight or obesity using self-collected anthropometrics</w:t>
      </w:r>
    </w:p>
    <w:p>
      <w:r>
        <w:t xml:space="preserve"> </w:t>
      </w:r>
    </w:p>
    <w:p>
      <w:pPr>
        <w:pStyle w:val="Heading2"/>
      </w:pPr>
      <w:r>
        <w:t>Short Hypothesis</w:t>
      </w:r>
    </w:p>
    <w:p>
      <w:r>
        <w:t>Adults with overweight or obesity who receive personalized nutrition advice via a fully remote digital intervention will have a greater percent reduction in body weight at 12 weeks than adults who receive generic nutrition advice.</w:t>
      </w:r>
    </w:p>
    <w:p>
      <w:r>
        <w:t xml:space="preserve"> </w:t>
      </w:r>
    </w:p>
    <w:p>
      <w:pPr>
        <w:pStyle w:val="Heading2"/>
      </w:pPr>
      <w:r>
        <w:t>Related Work</w:t>
      </w:r>
    </w:p>
    <w:p>
      <w:r>
        <w:t>Prior studies show that digital nutrition programs and remote randomized trials can produce modest weight changes and that self-collected measures (home scales, tapes, photos) allow scalable monitoring. Existing work often relies on small validation samples, lacks rigorous calibration of self-measured anthropometrics, or reports only raw self-measurement results. Common limitations include limited sociodemographic diversity, incomplete handling of measurement error, inadequate propagation of calibration uncertainty into treatment effects, sparse contamination monitoring (sharing or crossover between arms), and variable reporting of per-protocol adherence. Few studies combine automated multi-modal adherence signals (barcodes, timestamps, photos) with formal regression-calibration techniques and bootstrap uncertainty propagation to produce calibrated primary estimates.</w:t>
      </w:r>
    </w:p>
    <w:p>
      <w:r>
        <w:t xml:space="preserve"> </w:t>
      </w:r>
    </w:p>
    <w:p>
      <w:pPr>
        <w:pStyle w:val="Heading2"/>
      </w:pPr>
      <w:r>
        <w:t>Abstract</w:t>
      </w:r>
    </w:p>
    <w:p>
      <w:r>
        <w:t>This study tests whether a fully remote, three-arm randomized controlled nutrition intervention can be implemented feasibly and whether self-collected anthropometric data can detect short-term body changes. Adults with overweight or obesity will be randomized to receive generic nutrition advice, personalized digital nutrition advice, or personalized advice plus periodic personalized food boxes. The protocol emphasizes participant-centered onboarding, objective adherence signals (barcode scans, timestamps), and a validation substudy to quantify bias in self-measured weight and circumferences. Primary inference will use calibrated anthropometrics where measurement error is estimated by the validation cohort and propagated into treatment effect estimates using bootstrap draws. The main contribution is an end-to-end remote trial framework that combines DO-IT-YOURSELF anthropometry validation, uncertainty-aware analysis, and operational criteria for feasibility. Expected outcomes are (1) an estimate of the treatment effect on percent weight change at 12 weeks that accounts for self-measurement error, and (2) concrete feasibility metrics for deploying scalable remote personalized nutrition trials.</w:t>
      </w:r>
    </w:p>
    <w:p>
      <w:r>
        <w:t xml:space="preserve"> </w:t>
      </w:r>
    </w:p>
    <w:p>
      <w:pPr>
        <w:pStyle w:val="Heading2"/>
      </w:pPr>
      <w:r>
        <w:t>Methodology</w:t>
      </w:r>
    </w:p>
    <w:p>
      <w:r>
        <w:t>1) Enrollment and randomization: recruit adults age 18–65 with BMI 27–45 kg/m2; randomize 1:1:1 to Generic, Personalized, or Personalized+FoodBox. 2) Onboarding and readiness gate: deliver short videos and a practice measurement; compute a readiness score (comprehension quiz, practice measurement quality). Participants who pass proceed. 3) Measurement kit and protocol: ship a validated Bluetooth smart scale and non-stretch tape. Instruct two repeated measurements per visit (baseline, week6, week12) under standardized conditions (same time of day, light clothing). Capture metadata: device_id, timestamp, posture flag, and optional measurement photos. 4) Validation substudy: enroll a stratified subset (≈150) to obtain reference measures from trained staff (in-clinic or staff-observed remote) at baseline and week12; collect replicate reference measures to estimate within-subject variability. 5) Measurement-error modeling: fit a regression-calibration model where true_measure = α + β*self_measure + Σγ_k*covariate_k + ε. Covariates include device model, training_flag, time_of_day, clothing, posture_quality, BMI band, and digital literacy. Regression calibration produces corrected estimates of each participant's true change. (Regression calibration is a method that models the relationship between noisy measurements and their true values.) 6) Uncertainty propagation: draw bootstrap samples (e.g., 1000 draws) of calibration parameters, apply them to the main data, and fit the primary outcome model on each draw to produce interval estimates that include calibration uncertainty. 7) Primary analysis model: use a linear mixed-effects model with fixed effects for arm, time, arm×time, stratification covariates (sex, baseline BMI category, age), and random intercepts for participants; report adjusted mean percent change at 12 weeks. (A mixed-effects model accounts for repeated measurements per person.) 8) Missing data: use multiple imputation (MICE) with rich predictors (baseline covariates, engagement metrics, delivery metadata) and prespecify MNAR sensitivity via a delta-grid. 9) Adherence and contamination: collect barcode scans for delivered boxes, time-stamped photos/checklists, and self-reported cross-arm interactions; flag suspected contamination for sensitivity analyses. 10) Reproducibility: pre-register the SAP, provide code and a synthetic dataset prior to unblinding.</w:t>
      </w:r>
    </w:p>
    <w:p>
      <w:r>
        <w:t xml:space="preserve"> </w:t>
      </w:r>
    </w:p>
    <w:p>
      <w:pPr>
        <w:pStyle w:val="Heading2"/>
      </w:pPr>
      <w:r>
        <w:t>Experiments</w:t>
      </w:r>
    </w:p>
    <w:p>
      <w:r>
        <w:t>1) Enrollment targets and datasets: enroll N=360 (120 per arm) for the main trial and N=150 stratified validation participants. Produce three datasets: main trial raw self-measures, validation paired self vs reference measures, and a synthetic public dataset. 2) Baselines and arms: Baseline = Generic advice arm. Experimental arms = Personalized advice; Personalized advice + personalized food-boxes. 3) Primary endpoint: percent weight change at Week 12 = (WeightWeek12 − WeightBaseline)/WeightBaseline ×100. Secondary endpoints: waist circumference change, proportion achieving ≥3% weight loss, adherence rates, participant experience score, measurement bias metrics (bias, slope, RMSE). 4) Primary analysis: fit linear mixed-effects model on calibrated weights (see Methodology) and report adjusted contrasts (Personalized vs Generic; if significant, Personalized+Box vs Personalized) with 95% CIs. 5) Calibration and measurement evaluation: estimate calibration slope, intercept, bias, and RMSE in validation cohort; report heteroscedasticity diagnostics. 6) Missing data and sensitivity: perform MICE with ≥50 imputations for MAR; run MNAR grid of delta adjustments {0, −1, −2, −3, −4}% and report tipping points where conclusions change. 7) Ablations and comparisons: a) Raw vs calibrated: compare treatment effect estimates using uncalibrated self-measures and calibrated measures. b) Per-protocol vs mITT: compare mITT (≥1 postbaseline weight, ≥80% adherence) vs PP (≥90% adherence). c) Adherence signals: evaluate models using full multi-modal adherence stack versus barcode-only adherence to test incremental value. 8) Fraud detection ablation: run analyses with and without automated QC exclusions (rules: repeated identical timestamps, identical repeated values, implausible jumps &gt;5% between adjacent visits). 9) Evaluation metrics: report mean differences, 95% CIs, p-values, Cohen's d, calibration slope (with SE), RMSE, missingness rate, attrition rate, and measurement-fidelity percentage. 10) Software and reproducibility: implement analyses in R using mixed-effects and imputation packages and publish scripts and a synthetic dataset prior to unblinding.</w:t>
      </w:r>
    </w:p>
    <w:p>
      <w:r>
        <w:t xml:space="preserve"> </w:t>
      </w:r>
    </w:p>
    <w:p>
      <w:pPr>
        <w:pStyle w:val="Heading2"/>
      </w:pPr>
      <w:r>
        <w:t>Risk Factors And Limitations</w:t>
      </w:r>
    </w:p>
    <w:p>
      <w:r>
        <w:t>1) Residual measurement error: calibration may not fully remove bias if validation sample is unrepresentative. 2) Selection bias: readiness gating can improve data quality but reduce generalizability. 3) Contamination: cross-arm sharing of advice or boxes may dilute treatment contrasts. 4) Missing data and MNAR dropout: nonrandom attrition could bias estimates even after imputation. 5) Device and supply failures: lost, malfunctioning, or delayed kits/boxes may affect adherence metrics. 6) Limited follow-up: 12 weeks is short for long-term weight maintenance inference. 7) Cost and scalability: device procurement, shipping, and food-box logistics may limit broader deployment. 8) Privacy concerns: photo or metadata collection raises participant hesitancy and regulatory complexity. 9) Fraud and low-quality data: automated detection may miss sophisticated fraud or falsely exclude valid data. 10) External validity: results may not generalize beyond the enrolled sociodemographic mix or to people using different devices or clinical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