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chromogenic_absorption_gbs_poct</w:t>
      </w:r>
    </w:p>
    <w:p>
      <w:r>
        <w:t xml:space="preserve"> </w:t>
      </w:r>
    </w:p>
    <w:p>
      <w:pPr>
        <w:pStyle w:val="Heading2"/>
      </w:pPr>
      <w:r>
        <w:t>Title</w:t>
      </w:r>
    </w:p>
    <w:p>
      <w:r>
        <w:t>Quantitative point-of-care identification of Group B Streptococcus via chromogenic culture read by specific absorption spectroscopy</w:t>
      </w:r>
    </w:p>
    <w:p>
      <w:r>
        <w:t xml:space="preserve"> </w:t>
      </w:r>
    </w:p>
    <w:p>
      <w:pPr>
        <w:pStyle w:val="Heading2"/>
      </w:pPr>
      <w:r>
        <w:t>Short Hypothesis</w:t>
      </w:r>
    </w:p>
    <w:p>
      <w:r>
        <w:t>If rectovaginal swabs are cultured on a GBS-selective chromogenic medium and pigment concentration is measured by specific absorption spectroscopy and converted to a calibrated electrical/computed signal, then the measured signal will identify GBS colonization ≥1×10^4 CFU/swab with ≥95% sensitivity and ≥95% specificity within 60 minutes.</w:t>
      </w:r>
    </w:p>
    <w:p>
      <w:r>
        <w:t xml:space="preserve"> </w:t>
      </w:r>
    </w:p>
    <w:p>
      <w:pPr>
        <w:pStyle w:val="Heading2"/>
      </w:pPr>
      <w:r>
        <w:t>Related Work</w:t>
      </w:r>
    </w:p>
    <w:p>
      <w:r>
        <w:t>Current approaches to GBS screening include laboratory enrichment culture, direct plating on selective agar, chromogenic media with visual or photographic readout, and nucleic acid amplification tests (NAAT). Enrichment culture is sensitive but slow (18–48 h). Direct plating and chromogenic agar give colony-level identification but require incubation and subjective read interpretation. NAAT provides fast, sensitive detection but is more costly and may not quantify viable colony-forming units (CFU). Optical readouts (photometry or spectroscopy) have been used to speed culture-based assays, but prior systems often lack robust matrix correction (blood, mucus), quantitative calibration to CFU, or validated rapid intrapartum performance. Limitations in current methods include long time-to-result, operator-dependent readouts, interference by biological matrix pigments, limited lot-to-lot calibration, and few solutions that provide a quantitative CFU estimate tied to clinical action at point of care.</w:t>
      </w:r>
    </w:p>
    <w:p>
      <w:r>
        <w:t xml:space="preserve"> </w:t>
      </w:r>
    </w:p>
    <w:p>
      <w:pPr>
        <w:pStyle w:val="Heading2"/>
      </w:pPr>
      <w:r>
        <w:t>Abstract</w:t>
      </w:r>
    </w:p>
    <w:p>
      <w:r>
        <w:t>Screening pregnant women for rectovaginal Group B Streptococcus (GBS) colonization requires rapid, accurate tests to guide prophylaxis. We propose a point-of-care test (POCT) that cultures swabs on a GBS-selective chromogenic medium and measures the resulting dye pigment by specific absorption spectroscopy. Light absorption at a pigment peak and a reference wavelength is converted to an electrical signal, corrected for matrix effects (turbidity, blood), and mapped via a calibrated Bayesian model to an estimated CFU/swab and posterior probability of colonization. The main contribution is a combined chemistry–optics–data pipeline that yields a quantitative, time-resolved readout suitable for antepartum screening and a ≤60-minute intrapartum triage arm. Expected outcomes are a validated analytical LOD ≤1×10^3 CFU/swab, LOQ ≤1×10^4 CFU/swab, and clinical performance ≥95% sensitivity and specificity against predefined reference standards, with explicit gray-zone rules for indeterminate results. The method aims to enable timely, evidence-based prophylaxis decisions at point of care.</w:t>
      </w:r>
    </w:p>
    <w:p>
      <w:r>
        <w:t xml:space="preserve"> </w:t>
      </w:r>
    </w:p>
    <w:p>
      <w:pPr>
        <w:pStyle w:val="Heading2"/>
      </w:pPr>
      <w:r>
        <w:t>Methodology</w:t>
      </w:r>
    </w:p>
    <w:p>
      <w:r>
        <w:t>1) Chromogen selection: choose 3 candidate substrates that release visible dyes when cleaved by GBS-associated enzymes (hipO and a conserved glycosidase/esterase). For each candidate record chemical name, λmax (peak wavelength) and extinction coefficient ε in buffer, simulated vaginal fluid, and blood-spiked matrices. 2) Cartridge and optics: design single-use cartridge with 1–3 mm optical path, integrated printed calibration stripe, and dual optical windows. Use two LEDs: one at pigment λmax (Apeak) and one reference LED at a non-absorbing wavelength (Areference). Detect light with photodiodes and a 16–18 bit ADC. Synchronous LED modulation (turn LED on/off at known frequency and demodulate signal) reduces ambient noise. (Synchronous modulation: a way to pick the signal at a known frequency to reject background light.) 3) Sample workflow: insert swab into elution buffer in cartridge, incubate at 37°C with optional transient heating, read absorbance time series every 5–15 minutes up to 60 minutes, and optionally at 6–24 hours. 4) Signal processing: compute corrected absorbance = -log10((Apeak - dark)/(Areference - dark)) and apply turbidity/blood correction using reference channel and calibration stripe. 5) Calibration and model: run serial dilution calibrators (10^2–10^7 CFU/swab) across matrices and serotypes to build a hierarchical Bayesian model that maps corrected absorbance and time to CFU/swab. Hierarchical: model includes fixed effects for serotype and matrix, random effects for lot and operator. 6) Decision rules: predefine posterior probability thresholds for positive (&gt;0.95), negative (&lt;0.05), and indeterminate (else). 7) QC and lot control: use printed stripe to normalize lot-to-lot variation and log QC flags (high turbidity, stripe failure, temperature out-of-range). 8) Clinical validation: run paired tests against predefined reference standard (enrichment culture ± tie-breaker NAAT/quantitative plating) in planned cohorts.</w:t>
      </w:r>
    </w:p>
    <w:p>
      <w:r>
        <w:t xml:space="preserve"> </w:t>
      </w:r>
    </w:p>
    <w:p>
      <w:pPr>
        <w:pStyle w:val="Heading2"/>
      </w:pPr>
      <w:r>
        <w:t>Experiments</w:t>
      </w:r>
    </w:p>
    <w:p>
      <w:r>
        <w:t>1) Calibration experiments: prepare serial dilutions of quantified GBS (10^2, 10^3, 10^4, 10^5, 10^6, 10^7 CFU/swab) in three matrices: buffer, simulated vaginal fluid with mucin 0.5%/1.0%/2.0% w/v, and blood-spiked at 0.5%/1%/5% v/v. For each dilution and matrix run n=8 independent replicates across 3 serotypes initially, record time-resolved corrected absorbance every 5 minutes up to 60 minutes and at 6 and 24 hours. Metrics: limit of detection (LOD, concentration with 95% detection probability), limit of quantitation (LOQ, concentration with CV ≤20%), RMSE of CFU estimates, bias (%), and time-to-decision. 2) Inclusivity/Exclusivity: inclusivity panel: GBS serotypes Ia–IX, minimum 5 isolates per serotype (45 isolates), tested at 10^3–10^6 CFU/swab, n=5 replicates each. Exclusivity panel: E. coli, Enterococcus faecalis, Gardnerella vaginalis, Lactobacillus spp., Streptococcus pyogenes, non-GBS streptococci, each with 5–6 isolates at up to 1×10^7 CFU/mL and in mixed-culture simulations; n=5 replicates. Metrics: false-positive rate, signal ratio GBS:commensal. 3) Clinical studies: antepartum cohort n=400 pregnant participants at 35–37 weeks; intrapartum rapid-triage cohort n=600 presenting in labor. Collect paired swabs: investigational cartridge and reference standard (enrichment culture using LIM/Tween broth with subculture and confirmation by MALDI-TOF or NAAT). For discordant results, apply tie-breaker quantitative plating and NAAT. Primary metrics: sensitivity, specificity, positive predictive value (PPV), negative predictive value (NPV) with 95% CI, indeterminate rate, and time-to-result distribution. Noninferiority margin for intrapartum: -5% sensitivity versus reference, α=0.05, power=80%. 4) Baselines: compare to enrichment culture and a commercial NAAT. 5) Ablation studies: (a) single-wavelength vs dual-wavelength correction; (b) matrix-uncorrected linear regression vs hierarchical Bayesian model; (c) synchronous modulation on vs off. For each ablation compute changes in LOD, LOQ, RMSE, sensitivity, specificity. 6) Statistical analysis: use 5-fold cross-validation for calibration, report 95% credible intervals from Bayesian posterior, perform chi-squared tests for categorical comparisons and bootstrap CIs for performance metrics. 7) Reproducibility: assess inter-lot variance by testing 3 production lots with same calibrators and compute percent bias and re-calibration triggers if mean bias &gt;3–5%.</w:t>
      </w:r>
    </w:p>
    <w:p>
      <w:r>
        <w:t xml:space="preserve"> </w:t>
      </w:r>
    </w:p>
    <w:p>
      <w:pPr>
        <w:pStyle w:val="Heading2"/>
      </w:pPr>
      <w:r>
        <w:t>Risk Factors And Limitations</w:t>
      </w:r>
    </w:p>
    <w:p>
      <w:r>
        <w:t>1) Technical failure modes: chromogen background hydrolysis causing false positives; photodiode/LED drift or failure; printed calibration stripe degradation; cartridge alignment variability affecting path length. 2) Matrix interference: blood pigments, high turbidity, or viscous secretions may reduce SNR and bias absorbance despite correction. 3) Enzyme variability: hipO or secondary enzyme expression may vary by serotype or under antibiotic exposure, reducing sensitivity for some isolates. 4) Quantitative mapping limits: converting pigment absorbance to viable CFU assumes linearity and uniform per-cell enzyme activity; heterogeneity in enzyme expression or nonviable but pigment-producing cells will limit accuracy. 5) Clinical reference uncertainty: enrichment culture and NAAT differ in sensitivity/specificity; tie-breaker selection may bias measured performance. 6) Generalization and prevalence effects: performance estimates depend on local GBS prevalence and serotype mix; PPV/NPV will vary. 7) Manufacturing and supply chain: custom chromogens or printed stripes may face supply variability and cost constraints. 8) Regulatory and validation scope: achieving simultaneous ≤60-minute intrapartum performance and antepartum requirements may be challenging; approvals may require large multicenter datasets. 9) Usability constraints: operator errors in swab elution or incubation steps can increase indeterminate rates. 10) No mitigation strategies provided here; these are intrinsic risks and limits to the proposed approach.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