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sn_pb_trace_provenance</w:t>
      </w:r>
    </w:p>
    <w:p>
      <w:r>
        <w:t xml:space="preserve"> </w:t>
      </w:r>
    </w:p>
    <w:p>
      <w:pPr>
        <w:pStyle w:val="Heading2"/>
      </w:pPr>
      <w:r>
        <w:t>Title</w:t>
      </w:r>
    </w:p>
    <w:p>
      <w:r>
        <w:t>Integration of lead and tin isotope analyses with trace element chemistry to identify tin sources in southern African bronzes ca. 1200–1800 CE</w:t>
      </w:r>
    </w:p>
    <w:p>
      <w:r>
        <w:t xml:space="preserve"> </w:t>
      </w:r>
    </w:p>
    <w:p>
      <w:pPr>
        <w:pStyle w:val="Heading2"/>
      </w:pPr>
      <w:r>
        <w:t>Short Hypothesis</w:t>
      </w:r>
    </w:p>
    <w:p>
      <w:r>
        <w:t>If Rooiberg and Bushveld tin deposits were principal tin sources for southern African bronzes 1200–1800 CE, then the combined Pb isotope ratios, Sn isotope ratios, and trace-element profiles of archaeological bronzes will match those ore fields' measured ranges significantly more often than they match local Zimbabwean sources.</w:t>
      </w:r>
    </w:p>
    <w:p>
      <w:r>
        <w:t xml:space="preserve"> </w:t>
      </w:r>
    </w:p>
    <w:p>
      <w:pPr>
        <w:pStyle w:val="Heading2"/>
      </w:pPr>
      <w:r>
        <w:t>Related Work</w:t>
      </w:r>
    </w:p>
    <w:p>
      <w:r>
        <w:t>Existing work used Pb isotopes, Sn isotopes, or trace elements individually or in partial combinations to infer metal provenance in archaeological bronzes. Pb-only approaches can distinguish some ore provinces but miss tin-specific signatures. Sn isotope studies improved specificity but often used lower-precision corrections and lacked comprehensive regional ore baselines. Trace-element fingerprinting identifies geochemical markers but is confounded by recycling, alloying, and diagenesis. Prior multi-proxy attempts were limited by small ore reference sets, inconsistent QA/QC across labs, incomplete handling of censored data (values below detection limits), and weak statistical integration of heterogeneous data. Methods seldom used pre-registered hierarchical mixture models that represent within-source variability, and experimental bounds on fractionation during smelting/alloying are sparse. These weaknesses limit reproducibility and the strength of provenance claims.</w:t>
      </w:r>
    </w:p>
    <w:p>
      <w:r>
        <w:t xml:space="preserve"> </w:t>
      </w:r>
    </w:p>
    <w:p>
      <w:pPr>
        <w:pStyle w:val="Heading2"/>
      </w:pPr>
      <w:r>
        <w:t>Abstract</w:t>
      </w:r>
    </w:p>
    <w:p>
      <w:r>
        <w:t>This research integrates lead (Pb) and tin (Sn) isotope analyses with trace-element chemistry to infer the geographic sources of tin in 153 southern African bronze artifacts dated 1200–1800 CE. The approach measures high-precision Sn and Pb isotopes and a suite of trace elements in artifacts and a systematically sampled regional ore baseline including Rooiberg, Bushveld, and additional southern African deposits. We combine laboratory QA/QC (reference materials, blanks, replicates) with controlled smelting/alloying experiments to bound fractionation and recycling effects. A pre-registered Bayesian hierarchical mixing model jointly ingests isotopic and compositional data, accounts for measurement error, censored values below detection limits, and within-source heterogeneity, and yields probabilistic source attributions. Main contributions are: a vetted regional ore dataset, explicit experimental fractionation bounds, and an integrated statistical pipeline that quantifies uncertainty in provenance assignments. Expected outcomes are defensible, reproducible attributions of tin sources for the studied bronzes and a transparent workflow usable for other archaeometallurgical contexts.</w:t>
      </w:r>
    </w:p>
    <w:p>
      <w:r>
        <w:t xml:space="preserve"> </w:t>
      </w:r>
    </w:p>
    <w:p>
      <w:pPr>
        <w:pStyle w:val="Heading2"/>
      </w:pPr>
      <w:r>
        <w:t>Methodology</w:t>
      </w:r>
    </w:p>
    <w:p>
      <w:r>
        <w:t>1) Sample selection and metadata: choose 60–100 priority artifacts from the 153, stratified by time period, site, and object type. Record full metadata (site, context, conservation state, photos). 2) Sample preparation: take micro-samples (typical 0.5–2.0 g when allowed), remove corrosion, and split aliquots for Sn isotopes, Pb isotopes, and trace elements. 3) Chemical digestion: dissolve aliquots in sealed Teflon vessels with HF+HNO3 or HNO3+H2O2 depending on matrix; evaporate and re-dissolve in appropriate acid for column chemistry. 4) Column chemistry and separation: perform chromatographic separations for Sn and Pb using established resins (explain: resin is a solid that binds a target element so it can be separated) and measure column yields and blanks. 5) Sn isotope correction: use a 117Sn–124Sn double-spike (a known mix of two enriched Sn isotopes added to sample to correct instrument mass bias; double-spike algebra is a numeric inversion to separate sample and spike signals) and aim for on-column Sn mass that gives δ118Sn precision ≤0.10‰ (delta notation: per mil difference from a standard). 6) Instrumentation: measure Sn and Pb isotopes on MC-ICP-MS (multi-collector inductively coupled plasma mass spectrometer, a high-precision instrument); TIMS (thermal ionization mass spectrometry) is a backup for Pb. Trace elements measured by single-collector ICP-MS. 7) QA/QC: run certified reference materials (CRMs), procedural blanks, and replicates each batch. 8) Experimental fractionation controls: run small smelts and alloys (varied temperature, redox, crucible) to bound isotopic/trace-element shifts; measure feedstocks and products. 9) Data preprocessing: apply limit-of-detection flags, use censored-data methods rather than simple substitution, and transform compositional trace-element data with centered log-ratio (CLR) or isometric log-ratio (ILR) transforms (simple explanation: transforms that allow correct statistics on parts of a whole). 10) Statistical model: implement a Bayesian hierarchical mixing model that (a) represents each ore field as a distribution (allows multimodality), (b) models measurement error and within-source variance explicitly, (c) treats censored observations with a Tobit or censored likelihood, and (d) outputs posterior probabilities of source attribution per artifact. 11) Recycling/diagenesis scoring: compute a numeric score from diagnostic ratios (e.g., Sb/Pb, As/Sn, Ag/Pb), inclusion chemistry, and metallography; use the score to flag samples for alternate modeling or down-weighting. 12) Reproducibility: deposit code, example data, and processing scripts in the project repository.</w:t>
      </w:r>
    </w:p>
    <w:p>
      <w:r>
        <w:t xml:space="preserve"> </w:t>
      </w:r>
    </w:p>
    <w:p>
      <w:pPr>
        <w:pStyle w:val="Heading2"/>
      </w:pPr>
      <w:r>
        <w:t>Experiments</w:t>
      </w:r>
    </w:p>
    <w:p>
      <w:r>
        <w:t>Datasets: 1) Archaeological set: 153 bronzes dated 1200–1800 CE; priority subset 60–100 for full Pb+Sn+trace-element analysis. 2) Ore baseline: Rooiberg, Bushveld, plus 2–4 additional Southern African deposits; target 10–30 ore samples per deposit, including cassiterite separates when available. 3) External references: small set (n≈10) from Europe/Central Asia for long-distance test. 4) Experimental melts: n≈6–10 controlled smelts/alloys across temperature and redox variants. Baselines: A) Pb-only attribution (baseline method). B) Sn-only attribution. C) Trace-elements-only fingerprinting. D) Joint isotopes+trace elements with deterministic mixing. Proposed method: Bayesian hierarchical joint model with censored likelihoods. Evaluation metrics: per-sample posterior assignment probability to each source; assignment accuracy on known-source controls (fraction correct); posterior entropy (uncertainty measure); leave-one-site-out cross-validation accuracy; posterior predictive checks (p-values) for model fit; RMSE between observed and model-predicted isotope ratios. Experimental setup: measure all samples with MC-ICP-MS for isotopes and ICP-MS for trace elements; run CRMs and blanks each batch; produce analytical replicates for 10% of samples. Comparison/ablation studies: 1) Full model vs Pb-only, Sn-only, and trace-only baselines to quantify added value of each data type (report change in accuracy and posterior entropy). 2) Ablation of Sn isotopes (remove Sn data) to test sensitivity. 3) Ablation of fractionation correction (apply vs omit experimental fractionation bounds) to test impact on assignments. 4) Leave-one-deposit-out cross-validation on ore baseline to test source identifiability. Report numerical thresholds for success: e.g., increase in assignment accuracy ≥10% versus best single-proxy baseline or median posterior entropy reduction ≥20%.</w:t>
      </w:r>
    </w:p>
    <w:p>
      <w:r>
        <w:t xml:space="preserve"> </w:t>
      </w:r>
    </w:p>
    <w:p>
      <w:pPr>
        <w:pStyle w:val="Heading2"/>
      </w:pPr>
      <w:r>
        <w:t>Risk Factors And Limitations</w:t>
      </w:r>
    </w:p>
    <w:p>
      <w:r>
        <w:t>1) Low Sn concentration: some bronzes may have insufficient Sn for high-precision δ118Sn, causing attrition or need for pooling. 2) Recycling and alloying: recycled metal can mix multiple sources and mask primary ore signatures, reducing identifiability. 3) Diagenesis and corrosion: post-depositional alteration can change trace-element patterns. 4) Incomplete ore baseline: missing or undersampled local deposits can produce false attributions. 5) Instrumental and inter-lab bias: different labs or runs may introduce systematic offsets if QA/QC is imperfect. 6) Model identifiability: overlapping isotopic ranges between sources and high within-source variance can make statistical separation impossible for some samples. 7) Censored data: many trace elements near detection limits complicate covariance estimation. 8) Experimental fractionation uncertainty: lab smelts may not capture full historical metallurgical variability. 9) Ethical and governance limits: destructive sampling restrictions and embargo/MOU constraints may reduce accessible sample sizes. 10) Generalization: results specific to the sampled deposits and time window may not transfer to other regions or periods.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