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Multivariate geochemical, isotopic and experimental reconstruction of technological trajectories in iron smelting at Phnom Dek, Cambodia (7th–20th century CE)</w:t>
      </w:r>
    </w:p>
    <w:p>
      <w:r>
        <w:t xml:space="preserve"> </w:t>
      </w:r>
    </w:p>
    <w:p>
      <w:pPr>
        <w:pStyle w:val="Heading2"/>
      </w:pPr>
      <w:r>
        <w:t>Short Hypothesis</w:t>
      </w:r>
    </w:p>
    <w:p>
      <w:r>
        <w:t>Variation in smelting recipes and operational parameters (ore type, flux use, tuyere/airflow, and fuel) caused reproducible differences in slag chemistry and microstructure such that archaeological slag from distinct chronological phases form statistically separable compositional clusters that match experimental replicates and regional ore baselines.</w:t>
      </w:r>
    </w:p>
    <w:p>
      <w:r>
        <w:t xml:space="preserve"> </w:t>
      </w:r>
    </w:p>
    <w:p>
      <w:pPr>
        <w:pStyle w:val="Heading2"/>
      </w:pPr>
      <w:r>
        <w:t>Related Work</w:t>
      </w:r>
    </w:p>
    <w:p>
      <w:r>
        <w:t>Previous work used bulk chemistry, petrography, experimental smelts and targeted isotopes to show long-term change and distinct slag signatures at Phnom Dek and comparable sites. Existing approaches demonstrate that slag composition can track technological choices, and experiments can reproduce some archaeological textures. Limitations remain: many studies lack systematic regional ore and soil baselines, have small or uneven sample sizes, use qualitative match criteria, insufficiently control diagenetic alteration, and rarely publish pre-registered power analyses or inter-laboratory QA/QC results. Isotope interpretations are often treated as direct provenance signals without full accounting for process-induced isotope fractionation (for example redox or volatilization effects). LA-ICP-MS strategies sometimes lack matrix-matched standards for slags and standardised spot/ depth rules, reducing comparability. Overall, prior work shows promise but needs stricter baseline sampling, quantitative match metrics, leach validation, and integrated multivariate/isotope models.</w:t>
      </w:r>
    </w:p>
    <w:p>
      <w:r>
        <w:t xml:space="preserve"> </w:t>
      </w:r>
    </w:p>
    <w:p>
      <w:pPr>
        <w:pStyle w:val="Heading2"/>
      </w:pPr>
      <w:r>
        <w:t>Abstract</w:t>
      </w:r>
    </w:p>
    <w:p>
      <w:r>
        <w:t>This study tests whether long-term changes in iron-smelting at Phnom Dek produced reproducible slag signatures that record recipes and the transmission of metallurgical traditions. We combine a stratified archaeological pilot and phase-level sampling program with a systematic regional baseline of ores and soils, sequential leach tests, bulk and micro-analytical chemistry, targeted isotopes, and controlled experimental smelts. Analytical outputs will be integrated with robust multivariate methods (dimension reduction, clustering, supervised classification) and probabilistic match metrics that compare archaeological slag, experimental replicates, and ore baselines. Main contributions are (1) a quantified provenance baseline for the Phnom Dek catchment, (2) validated leach and isotope protocols that separate diagenetic from primary signals, and (3) explicit, quantitative criteria for declaring archaeological–experimental matches using Mahalanobis distance, cluster membership probability, XRD phase tolerances and isotope agreement. Expected outcomes include reproducible technological clusters tied to recipes and temporal change, transparent acceptance thresholds for matches, and openly shared data, methods and QA/QC to support future regional archaeometallurgy.</w:t>
      </w:r>
    </w:p>
    <w:p>
      <w:r>
        <w:t xml:space="preserve"> </w:t>
      </w:r>
    </w:p>
    <w:p>
      <w:pPr>
        <w:pStyle w:val="Heading2"/>
      </w:pPr>
      <w:r>
        <w:t>Methodology</w:t>
      </w:r>
    </w:p>
    <w:p>
      <w:r>
        <w:t>1) Sampling: do a pilot of ~20 well‑contexted slags to estimate variance; then target 20–30 slag samples per chronological phase (prefer 30) with 30% contingency. Collect systematic regional baseline: for each candidate ore source collect 3–5 ore samples and 5–10 soil/sediment samples per 10 km2 block in target catchments. Record precise GIS coordinates and context metadata.</w:t>
        <w:br/>
        <w:br/>
        <w:t>2) Sample preparation and diagenesis checks: remove weathered rind, micro‑drill interior prills (small, glassy inclusions), and split samples for (a) bulk digestion, (b) prill mounts for LA‑ICP‑MS, (c) thin sections for microscopy, and (d) sequential leach aliquots. Sequential leach: 0.1 M acetic acid (removes adsorbed carbonates), then 0.5 M HCl (removes secondary oxides); save leachates and residues.</w:t>
        <w:br/>
        <w:br/>
        <w:t>3) Analyses: XRD (mineral phases), SEM‑EDS (microstructure and prill textures), bulk ICP‑MS/OES (major and trace elements), LA‑ICP‑MS on prills (spot size 40–60 µm, 3–5 spots per prill, plus matrix spots), and isotopes: Pb for provenance, Fe for redox/process, Sr/Nd where flux/silicate contamination suspected. Use matrix‑matched in‑house slag SRMs plus NIST 610/612 and MPI‑DING glasses for calibration.</w:t>
        <w:br/>
        <w:br/>
        <w:t>4) Experimental smelts: run 4–6 pilot smelts to refine parameters then factorial smelts varying ore type (3–4), flux regime (none/siliceous/calcareous), tuyere geometry (2 shapes), airflow (low/med/high), and charcoal taxa (2–3). Make 3 replicates for key cells. Record temperatures, airflows, and fuel metrics.</w:t>
        <w:br/>
        <w:br/>
        <w:t>5) Data processing and multivariate inference: clean and robustly scale data; reduce dimensions with PCA and UMAP (UMAP = a nonlinear method that groups similar samples); cluster with hierarchical Ward and Gaussian mixture models; test separability with LDA/PLS‑DA (supervised classifiers). Use nested cross‑validation to avoid overfitting. Define match metrics (see Experiments).</w:t>
        <w:br/>
        <w:br/>
        <w:t>6) Chronology: obtain 2–4 short‑lived AMS dates per phase where possible; model dates in OxCal (Phases, Boundaries, outlier models). Propagate chronological uncertainty by Monte Carlo sampling of date PDFs into chemometric analyses.</w:t>
        <w:br/>
        <w:br/>
        <w:t>7) QA/QC and round‑robin: blanks every 10 samples, analytical replicates every 10 samples, duplicates for 5–10% of contexts, and an inter‑lab round‑robin (8 blind duplicates + 5 SRMs). Publish power scripts and QA thresholds.</w:t>
      </w:r>
    </w:p>
    <w:p>
      <w:r>
        <w:t xml:space="preserve"> </w:t>
      </w:r>
    </w:p>
    <w:p>
      <w:pPr>
        <w:pStyle w:val="Heading2"/>
      </w:pPr>
      <w:r>
        <w:t>Experiments</w:t>
      </w:r>
    </w:p>
    <w:p>
      <w:r>
        <w:t>Datasets:</w:t>
        <w:br/>
        <w:t>- Archaeological slag: pilot n≈20; then phase datasets aiming 20–30 samples per phase (target 30), total expected 120–240 samples across phases. Each sample: bulk ICP, prill LA‑ICP‑MS, XRD, SEM‑EDS, leach aliquots, and isotopes on representative subset (3–5 per cluster).</w:t>
        <w:br/>
        <w:t>- Regional baseline: 3–5 ore samples per candidate source; 5–10 soil/sediment samples per 10 km2 block; up to 50–100 baseline samples.</w:t>
        <w:br/>
        <w:t>- Experimental smelts: 4–6 pilot smelts + factorial set with ~30–60 experimental slag outputs (3 replicates per cell for critical cells).</w:t>
        <w:br/>
        <w:t>- Ethnographic modern samples: up to 20 contemporary slag/ore samples for comparison.</w:t>
        <w:br/>
        <w:br/>
        <w:t>Baselines for comparison:</w:t>
        <w:br/>
        <w:t>- Method A: bulk chemistry only (no prill LA, no isotopes).</w:t>
        <w:br/>
        <w:t>- Method B: bulk + prill LA‑ICP‑MS + XRD/SEM (no isotopes).</w:t>
        <w:br/>
        <w:t>- Method C (full): Method B + isotopes + leach-validated residues.</w:t>
        <w:br/>
        <w:br/>
        <w:t>Evaluation metrics and thresholds (technical):</w:t>
        <w:br/>
        <w:t>- Cluster separability: multivariate MANOVA p-value &lt; 0.05 and silhouette score &gt; 0.25.</w:t>
        <w:br/>
        <w:t>- Match metric 1: Mahalanobis distance (MD) between an archaeological sample and experimental cluster: MD^2 below the chi-square critical value at alpha=0.05 with df equal to number of retained variables indicates statistical match.</w:t>
        <w:br/>
        <w:t>- Match metric 2: cluster membership probability ≥ 0.75 from Gaussian mixture model.</w:t>
        <w:br/>
        <w:t>- XRD phase tolerance: key phase proportions (e.g., fayalite + magnetite) within ±10 percentage points absolute.</w:t>
        <w:br/>
        <w:t>- Prill compositional similarity: Mahalanobis distance on prill trace-element vectors using LA‑ICP‑MS with matrix correction.</w:t>
        <w:br/>
        <w:t>- Isotope agreement: difference within analytical uncertainty (Fe δ56Fe within ±0.05‰; Pb ratios within ±0.0005 absolute; 87Sr/86Sr within ±0.00002).</w:t>
        <w:br/>
        <w:br/>
        <w:t>Experimental setup specifics:</w:t>
        <w:br/>
        <w:t xml:space="preserve">- LA‑ICP‑MS: spot size 40–60 µm, 3–5 spots per prill, at least one depth profile per crusted sample; use NIST 610/612 and in‑house slag SRM for calibration. </w:t>
        <w:br/>
        <w:t>- Inter-lab round‑robin: exchange 8 blind duplicates + 5 SRMs; acceptance: major oxides ±5% rel.; trace &gt;100 ppm ±10%, &lt;100 ppm ±20%.</w:t>
        <w:br/>
        <w:br/>
        <w:t>Comparisons/ablations:</w:t>
        <w:br/>
        <w:t>- Ablation A: remove isotopic data from classifier (Method B vs Method C) to quantify isotope contribution to provenance accuracy.</w:t>
        <w:br/>
        <w:t>- Ablation B: use bulk-only data (Method A) to test importance of prill-level LA data.</w:t>
        <w:br/>
        <w:t>- Power ablation: subsample phase sizes (n=10,15,20,30) to compute classification accuracy and report power curves.</w:t>
        <w:br/>
        <w:br/>
        <w:t>Reporting:</w:t>
        <w:br/>
        <w:t>- Report confusion matrices, precision/recall for supervised classification, cluster stability (bootstrap), MD distributions, isotope mixing model RMSE, and OxCal posterior phase ranges.</w:t>
      </w:r>
    </w:p>
    <w:p>
      <w:r>
        <w:t xml:space="preserve"> </w:t>
      </w:r>
    </w:p>
    <w:p>
      <w:pPr>
        <w:pStyle w:val="Heading2"/>
      </w:pPr>
      <w:r>
        <w:t>Risk Factors And Limitations</w:t>
      </w:r>
    </w:p>
    <w:p>
      <w:r>
        <w:t>1) Diagenesis: post-depositional alteration may change bulk chemistry and isotopes; sequential leaches may not fully separate altered signals and could bias isotope ratios. 2) Incomplete baseline: limited or missed regional ore sources reduce provenance certainty; uneven baseline density weakens spatial inference. 3) Small sample sizes: low n per phase reduces power to detect moderate effects and inflates false negatives. 4) Isotope fractionation: processes (reduction, volatilization, slag–metal exchange) can change isotope ratios and confound provenance; models may be under-constrained. 5) Inter-lab variability: differences in preparation and calibration can introduce systematic offsets despite SRMs. 6) Destructive sampling limits: small or unique artifacts may preclude necessary subsampling (microdrilling fallback may yield insufficient mass). 7) Computational scope: Monte Carlo propagation of date PDFs and high-dimensional bootstrapping require moderate compute; very large ensembles may be time-consuming. 8) Social and legal constraints: FPIC, MTA negotiations, or export permits may delay sampling or restrict data sharing. 9) Generalization: thresholds and models tuned to Phnom Dek geology and recipes may not transfer to other regions without new baselines.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