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composite_bow_reassessment</w:t>
      </w:r>
    </w:p>
    <w:p>
      <w:r>
        <w:t xml:space="preserve"> </w:t>
      </w:r>
    </w:p>
    <w:p>
      <w:pPr>
        <w:pStyle w:val="Heading2"/>
      </w:pPr>
      <w:r>
        <w:t>Title</w:t>
      </w:r>
    </w:p>
    <w:p>
      <w:r>
        <w:t>Integrative biomolecular, iconographic and phylogenetic reassessment of the origins and diffusion of the full horn–wood–sinew composite bow in ancient Eurasia</w:t>
      </w:r>
    </w:p>
    <w:p>
      <w:r>
        <w:t xml:space="preserve"> </w:t>
      </w:r>
    </w:p>
    <w:p>
      <w:pPr>
        <w:pStyle w:val="Heading2"/>
      </w:pPr>
      <w:r>
        <w:t>Short Hypothesis</w:t>
      </w:r>
    </w:p>
    <w:p>
      <w:r>
        <w:t>If the full horn–wood–sinew composite bow spread mainly by cultural diffusion from a single origin, then tip-dated phylogenetic models combining high-confidence biomolecular and iconographic records will recover a single ancestral origin and directional spatial diffusion with higher posterior support than models with multiple independent origins.</w:t>
      </w:r>
    </w:p>
    <w:p>
      <w:r>
        <w:t xml:space="preserve"> </w:t>
      </w:r>
    </w:p>
    <w:p>
      <w:pPr>
        <w:pStyle w:val="Heading2"/>
      </w:pPr>
      <w:r>
        <w:t>Related Work</w:t>
      </w:r>
    </w:p>
    <w:p>
      <w:r>
        <w:t>Prior approaches combine iconographic study, limited material analysis, experimental replication, and population genetics to argue for a Late Bronze Age emergence and rapid spread of the composite bow. Limitations include inconsistent morphological definitions, small and non‑harmonized biomolecular datasets, varying proteomics thresholds, scarce direct dating of organics, weak controls for borrowing/horizontal transfer in phylogenetic models, limited inter-observer calibration on iconography, and under‑addressed taphonomic and sampling bias. Existing models rarely integrate standardized proteomic acceptance criteria, adhesive chemistry lists, philological codings, and simulation-backed identifiability tests simultaneously, leaving diffusion vs independent invention unresolved.</w:t>
      </w:r>
    </w:p>
    <w:p>
      <w:r>
        <w:t xml:space="preserve"> </w:t>
      </w:r>
    </w:p>
    <w:p>
      <w:pPr>
        <w:pStyle w:val="Heading2"/>
      </w:pPr>
      <w:r>
        <w:t>Abstract</w:t>
      </w:r>
    </w:p>
    <w:p>
      <w:r>
        <w:t>This project reassesses claims about the origin and spread of the full horn–wood–sinew composite bow in ancient Eurasia by integrating standardized biomolecular assays, structured iconographic coding, direct dating, lexical evidence, and tip-dated phylogenetic modelling with explicit borrowing parameters. We propose a harmonized operational decision tree and a single proteomics SOP to classify horn and sinew residues, map ZooMS-only versus shotgun proteomics into trait matrices, and record adhesive chemistry signatures. Data will include a pilot corpus of museum specimens, micro-CT images, proteomic and GC‑MS results, a curated lexicon, and public ancient-genome datasets. Simulations will test model identifiability across plausible borrowing rates and sample sizes. The main contribution is a reproducible, preregistered pipeline that combines multiple independent lines of evidence and quantifies uncertainty, yielding a testable conclusion on whether the composite bow shows a single diffusion origin or multiple independent inventions. Expected outcome: definitive, probabilistic evidence that clarifies the bow’s early trajectory and guides future sampling and philological work.</w:t>
      </w:r>
    </w:p>
    <w:p>
      <w:r>
        <w:t xml:space="preserve"> </w:t>
      </w:r>
    </w:p>
    <w:p>
      <w:pPr>
        <w:pStyle w:val="Heading2"/>
      </w:pPr>
      <w:r>
        <w:t>Methodology</w:t>
      </w:r>
    </w:p>
    <w:p>
      <w:r>
        <w:t>1. Taxonomy and decision tree: implement a 5-node rule scored 0–2 per node: (1) horn lamina, (2) sinew backing, (3) laminated horn–wood interface and adhesive, (4) limb geometry/tip fittings, (5) contextual corroboration (date, wear). Nodes combine deterministically: call 'full' when nodes 1–3 = 2 and node 5 ≥1; otherwise classify as 'partial' or 'uncertain'. 2. Proteomics SOP: adopt unified thresholds: ZooMS requires ≥2 diagnostic peptides; shotgun proteomics requires ≥3 unique peptides with FDR ≤1%; report peptide-spectrum matches, peptide-length distributions and N/Q deamidation percentages. Define blank/reagent controls and require independent lab replication for key claims. (FDR = false discovery rate; deamidation = chemical change in ancient proteins used to assess age.) 3. Biomolecular pipeline: non-destructive imaging (micro-CT) first, then micro-sampling (horn 2–5 mg, sinew 5–15 mg, adhesive swabs 0.5–5 mg) where consented. Perform ZooMS, LC-MS/MS proteomics, GC‑MS and FTIR/Raman for adhesives. Example adhesive markers: beeswax (long-chain esters, even-numbered long-chain fatty acids), animal glue (collagen peptides), birch tar (betulin and triterpenes), conifer resin (abietic acid and diterpenoids). 4. Iconography and lexicon: build image corpus, apply geometric morphometrics (curve landmarking) and train explainable CNNs; compile cross-cultural bow lexicon and code loan/inheritance status with inter-coder reliability tests (target Krippendorff's alpha ≥0.7). 5. Chronology and genetics: directly date keratin/collagen/adherives where possible; link records to public aDNA 1240k datasets; use ancestry proportions and admixture dates as time-aware predictors but avoid selecting genomes based on bow presence. 6. Modelling and simulation: run tip-dated Bayesian trait-evolution models (RevBayes/BEAST2) with a borrowability parameter (exponential prior, mean = 1 default) and spatial diffusion GLMMs (INLA/Stan). Pre-register priors and run forward simulations varying borrowability and sample size to test identifiability. 7. Data governance: use CIDOC-CRM compatible schema, DOIs, containerized pipelines, and metadata fields for consent and embargo.</w:t>
      </w:r>
    </w:p>
    <w:p>
      <w:r>
        <w:t xml:space="preserve"> </w:t>
      </w:r>
    </w:p>
    <w:p>
      <w:pPr>
        <w:pStyle w:val="Heading2"/>
      </w:pPr>
      <w:r>
        <w:t>Experiments</w:t>
      </w:r>
    </w:p>
    <w:p>
      <w:r>
        <w:t>Pilot phase: assemble a pilot corpus of 12 proteomically sampled artifacts (3 per region across 4 regions: steppe, Central Asia, Caucasus, Eastern Anatolia), 60 iconographic images, 8 experimental replicas (varying wood/adhesive combos), and sequence public aDNA panels for corresponding time slices. Full study targets: 250 dated trait records and 80 proteomic specimens (≈20 per major region). Baselines: (A) vertical-only phylogenetic model (no borrowing), (B) narrative/iconographic-only classification, (C) ZooMS-only detection mapping. Evaluation metrics: model evidence (marginal likelihoods and Bayes factors), posterior probability of single-origin node, sensitivity and specificity of biomolecular diagnostics (true positive/false positive rates), Krippendorff's alpha for inter-coder agreement, proteomics QC metrics (peptide counts, FDR, deamidation %), and posterior predictive checks. Experimental setup: all biomolecular assays include extraction blanks and at least one replicate in an independent lab for positive calls. Tip-dated models: pre-register clock model = relaxed lognormal; borrowability prior = exponential(mean=1); perform sensitivity runs with mean=0.5 and mean=2. Comparison/ablation: (1) full data model vs ablation without proteomics (iconography+lexicon+aDNA only) to measure loss of origin-node support; (2) full model vs ZooMS-only data to measure change in false-positive rate; (3) prior sensitivity ablation changing borrowability prior and spatial decay rate. Power analysis: run forward simulations to estimate detection probability for diffusion vs independent invention under sample sizes of 100, 200, 300 trait records and proteomic counts of 20, 40, 80 per region; report expected posterior support thresholds (e.g., Bayes factor &gt;10) under each scenario.</w:t>
      </w:r>
    </w:p>
    <w:p>
      <w:r>
        <w:t xml:space="preserve"> </w:t>
      </w:r>
    </w:p>
    <w:p>
      <w:pPr>
        <w:pStyle w:val="Heading2"/>
      </w:pPr>
      <w:r>
        <w:t>Risk Factors And Limitations</w:t>
      </w:r>
    </w:p>
    <w:p>
      <w:r>
        <w:t>1. Preservation bias: organic survival varies by environment, producing non-random missing data and geographic skew. 2. Contamination and authentication failure: low endogenous protein yields, modern contamination, or ambiguous deamidation may prevent confident identifications. 3. Small sample sizes: limited museum permissions or preserved specimens may underpower models, reducing identifiability between diffusion and independent invention. 4. Model identifiability: high horizontal transfer rates can make phylogenetic origin inference ambiguous. 5. Circularity risk in genetic inference: improper selection of aDNA conditional on bow presence can bias tests. 6. Iconographic ambiguity: stylized or symbolic imagery may mislead morphological coding. 7. Cross-lab reproducibility burden: requiring independent replication increases cost and time. 8. Ethical and legal constraints: sampling refusals, community restrictions, or embargoes can reduce data access. 9. Scalability: micro-CT, LC-MS/MS, GC‑MS and modelling are compute- and cost-intensive, limiting rapid scaling. 10. Generalization limits: results may be region- and period-specific and not extend to all Eurasian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