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pleistocene_europe_dispersal_pilot</w:t>
      </w:r>
    </w:p>
    <w:p>
      <w:r>
        <w:t xml:space="preserve"> </w:t>
      </w:r>
    </w:p>
    <w:p>
      <w:pPr>
        <w:pStyle w:val="Heading2"/>
      </w:pPr>
      <w:r>
        <w:t>Title</w:t>
      </w:r>
    </w:p>
    <w:p>
      <w:r>
        <w:t>Integrated multi-proxy Bayesian chronology and geospatial modelling to test dispersal and population-dynamics hypotheses for the first occupations of western Europe in the early to middle Pleistocene</w:t>
      </w:r>
    </w:p>
    <w:p>
      <w:r>
        <w:t xml:space="preserve"> </w:t>
      </w:r>
    </w:p>
    <w:p>
      <w:pPr>
        <w:pStyle w:val="Heading2"/>
      </w:pPr>
      <w:r>
        <w:t>Short Hypothesis</w:t>
      </w:r>
    </w:p>
    <w:p>
      <w:r>
        <w:t>If lower regional ecological productivity and constrained geographic corridors delayed hominin expansion, then securely dated western European occupations will be significantly later than Asian occupations and will be statistically clustered in sites with higher paleo-net primary productivity (NPP) and persistent corridor connectivity.</w:t>
      </w:r>
    </w:p>
    <w:p>
      <w:r>
        <w:t xml:space="preserve"> </w:t>
      </w:r>
    </w:p>
    <w:p>
      <w:pPr>
        <w:pStyle w:val="Heading2"/>
      </w:pPr>
      <w:r>
        <w:t>Related Work</w:t>
      </w:r>
    </w:p>
    <w:p>
      <w:r>
        <w:t>Existing approaches combine single-method chronologies (light-based luminescence, ESR/U-series, magnetostratigraphy, tephrochronology), paleoenvironmental proxies (pollen, phytoliths, faunal isotopes), lithic techno-typology, and isolated biomolecular assays. Geospatial models and agent-based dispersal simulations have been applied unevenly. Limitations include inconsistent QA/QC thresholds across labs, sparse inter-lab replication, varying sample-size/power targets, limited integration of preservation-bias models into arrival-time estimates, lithic equifinality (different behaviors producing similar stone tools), and low biomolecular recovery in early Pleistocene contexts. Prior studies often lack harmonized Bayesian chronology frameworks and standard metadata, making cross-region comparison and formal model selection difficult.</w:t>
      </w:r>
    </w:p>
    <w:p>
      <w:r>
        <w:t xml:space="preserve"> </w:t>
      </w:r>
    </w:p>
    <w:p>
      <w:pPr>
        <w:pStyle w:val="Heading2"/>
      </w:pPr>
      <w:r>
        <w:t>Abstract</w:t>
      </w:r>
    </w:p>
    <w:p>
      <w:r>
        <w:t>This project tests why western Europe was occupied later than parts of Asia during the early–middle Pleistocene by combining multi-method dating, paleoecological proxies, geospatial corridor mapping, lithic analysis, and enamel proteomics under a single Bayesian framework. We collect a four-site pilot dataset (representing coastal, riverine and interior settings) and apply a baseline dating package (single-aliquot OSL, pIR-IRSL where relevant, ESR/U-series, magnetostratigraphy, tephra anchors) with inter-lab replicates. Paleo-NPP and corridor connectivity rasters will be compared to site ages in formal dispersal models. Lithic metrics and machine-learning classifiers test technological signatures of movement versus local innovation. Enamel proteomics provides taxonomic checks where DNA is absent. Main contributions are (1) a harmonized, pre-registered Bayesian chronology skeleton with explicit priors and diagnostics, (2) a preservation-aware test of ecological and corridor causes for delayed occupation, and (3) openly documented QA/QC and metadata standards to allow reproducible cross-regional inference. Expected outcomes are falsifiable support for one or more causal models explaining the Europe–Asia chronological gap.</w:t>
      </w:r>
    </w:p>
    <w:p>
      <w:r>
        <w:t xml:space="preserve"> </w:t>
      </w:r>
    </w:p>
    <w:p>
      <w:pPr>
        <w:pStyle w:val="Heading2"/>
      </w:pPr>
      <w:r>
        <w:t>Methodology</w:t>
      </w:r>
    </w:p>
    <w:p>
      <w:r>
        <w:t>1) Field sampling: select four pilot sites (Iberia, France, Britain, Italy). At each site excavate 2–3 pilot trenches and sample 2–3 datable horizons per trench. Collect sediment for luminescence, teeth/calcrete for ESR/U-series, oriented blocks for magnetostratigraphy, and tephra where present. Take micromorphology blocks and taphonomy records, plus representative lithic assemblages and contextual photos and 3D scans. 2) Baseline dating package: use OSL (optically stimulated luminescence) which measures last sunlight exposure of minerals; pIR-IRSL for feldspar where applicable; ESR (electron spin resonance) on enamel to measure radiation dose absorbed; U-series on carbonates/teeth for uranium-series disequilibrium; magnetostratigraphy to detect past geomagnetic reversals; and tephra chemistry for layer correlation. 3) QA/QC and inter-lab replication: run blind replicates on &gt;=10% of samples; record dose-rate logs, moisture history, and lab blanks. 4) Paleoecology: build paleo-NPP maps using pollen, phytoliths, faunal isotopes and downscaled climate reconstructions; NPP is shorthand for net primary productivity, the plant calorie base of ecosystems. 5) Geospatial corridor modelling: produce time-sliced paleoshorelines, paleo-DEMs (digital elevation models), river network reconstructions, and compute least-cost and circuit-theory paths to identify persistent corridors. Least-cost path finds the route of lowest travel cost across landscape; circuit theory models multiple possible corridors. 6) Lithic workflow: record standardized metrics (raw material, core reduction sequence, platform type, dorsal scars, retouch, dimensions, edge angle), capture photos/3D meshes, and build experimental reference sets. 7) ML and statistical models: train classifiers (random forest and convolutional nets for images/meshes) on experimental and securely dated assemblages. 8) Bayesian chronology: implement a hierarchical Bayesian model (ChronoModel or OxCal) that takes method-specific likelihoods and stratigraphic order constraints as input; pre-register priors (weakly informative priors on horizon ages, dose-rate priors centred on measured values) and run prior predictive checks. 9) Integration: test correlation between arrival ages, paleo-NPP, and corridor scores in the Bayesian framework and via formal model comparison (Bayes Factors). 10) Proteomics: screen enamel and calculus with peptide fingerprinting and then LC-MS/MS for diagnostic peptides; require replication across two labs for taxonomic calls. 11) Data standards: store all data with standardized metadata (site, horizon, sample ID, lab logs) and provide Docker containers for processing scripts.</w:t>
      </w:r>
    </w:p>
    <w:p>
      <w:r>
        <w:t xml:space="preserve"> </w:t>
      </w:r>
    </w:p>
    <w:p>
      <w:pPr>
        <w:pStyle w:val="Heading2"/>
      </w:pPr>
      <w:r>
        <w:t>Experiments</w:t>
      </w:r>
    </w:p>
    <w:p>
      <w:r>
        <w:t>Datasets: pilot field dataset from four sites (Iberia, France, Britain, Italy) with 8-12 horizons and 2-3 dating attempts per horizon yielding 16-36 independent ages; paleoecological proxy records (pollen, phytoliths, faunal isotopes) collated per horizon; lithic metric tables and 2D/3D artifact images; enamel proteomic outputs. Baselines: (A) continuous-dispersal model (null) predicting steady arrival probability through time, (B) pulsed-dispersal model tied to interglacial windows, (C) preservation-bias-only model where no ecological/corridor effect exists and gaps are due to loss. Evaluation metrics: Bayes Factor for model comparison, posterior predictive p-values, credible interval coverage (percent of true-age simulations within 95% posterior intervals), RMSE of horizon age estimates against cross-checked tephra anchors, power curves from ABC simulations for pulse detection, lithic classifier metrics (accuracy, precision, recall, F1, ROC-AUC), calibration (Brier score), and peptide-count thresholds for proteomics (number of diagnostic peptides). Experimental setup: 1) Pre-register priors and analysis scripts. 2) Run inter-lab blind replicates on &gt;=10% of dating and proteomics samples. 3) Fit hierarchical Bayesian chronology with method-specific likelihoods and stratigraphic constraints; run MCMC chains until convergence (R-hat &lt; 1.05) and effective sample size &gt; 200 per parameter. 4) Compare models A–C using Bayes Factors and LOO-CV; report model weights. 5) Ablation studies: (i) remove corridor variables from the best model to test corridor importance, (ii) remove paleo-NPP to test ecological effect, (iii) run chronology using single-method dates only versus multi-method integration to quantify age uncertainty reduction. 6) Lithic ML validation: train on 70% of experimental/dated assemblages, validate on 15%, test on 15% holdout including inter-lab blind sets; report holdout performance. 7) Proteomics threshold test: report relation between peptide counts and taxonomic call stability; compare single-lab calls to two-lab replicated calls and record concordance rate.</w:t>
      </w:r>
    </w:p>
    <w:p>
      <w:r>
        <w:t xml:space="preserve"> </w:t>
      </w:r>
    </w:p>
    <w:p>
      <w:pPr>
        <w:pStyle w:val="Heading2"/>
      </w:pPr>
      <w:r>
        <w:t>Risk Factors And Limitations</w:t>
      </w:r>
    </w:p>
    <w:p>
      <w:r>
        <w:t>1) Dating discordance: independent methods may produce non-overlapping ages for the same horizon, preventing secure chronology. 2) Low preservation: teeth, datable carbonates, tephra, or diagnostic sedimentary contexts may be absent, reducing datable horizons. 3) Biomolecular limits: proteomic peptide counts may be too low for taxonomic or population-affinity claims. 4) Lithic equifinality: similar tool forms may arise from different behaviors, limiting inference on movement. 5) Sampling bias: site selection and survey effort can bias spatial patterns and corridor detection. 6) Model sensitivity: Bayesian results depend on priors and on assumed dose-rate or moisture histories; conclusions may not generalize if priors are poorly chosen. 7) Computational limits: high-resolution time-sliced rasters and agent-based ensembles require substantial compute and storage. 8) Regulatory and permit delays: permitting or stakeholder restrictions can delay destructive sampling. 9) Cost and personnel: inter-lab replication, proteomics, and extended field seasons require funds and trained staff which may be limited. 10) Generalization: pilot results from four sites may not represent all western Europe, limiting broader claims.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