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eng_dev_governmentality_bd</w:t>
      </w:r>
    </w:p>
    <w:p>
      <w:r>
        <w:t xml:space="preserve"> </w:t>
      </w:r>
    </w:p>
    <w:p>
      <w:pPr>
        <w:pStyle w:val="Heading2"/>
      </w:pPr>
      <w:r>
        <w:t>Title</w:t>
      </w:r>
    </w:p>
    <w:p>
      <w:r>
        <w:t>Theory-informed thematic analysis of how development-framed English-in-education policy shapes aspirations, practices, and misrecognition among low-SES students and parents in a Bangladeshi school</w:t>
      </w:r>
    </w:p>
    <w:p>
      <w:r>
        <w:t xml:space="preserve"> </w:t>
      </w:r>
    </w:p>
    <w:p>
      <w:pPr>
        <w:pStyle w:val="Heading2"/>
      </w:pPr>
      <w:r>
        <w:t>Short Hypothesis</w:t>
      </w:r>
    </w:p>
    <w:p>
      <w:r>
        <w:t>Framing English-in-education policy as 'development' causes low-SES parents and students to increase time and money investments in English study while increasing experiences of misrecognition and affective exclusion in school interactions.</w:t>
      </w:r>
    </w:p>
    <w:p>
      <w:r>
        <w:t xml:space="preserve"> </w:t>
      </w:r>
    </w:p>
    <w:p>
      <w:pPr>
        <w:pStyle w:val="Heading2"/>
      </w:pPr>
      <w:r>
        <w:t>Related Work</w:t>
      </w:r>
    </w:p>
    <w:p>
      <w:r>
        <w:t>Prior work investigates language-in-education policy, linguistic human capital, governmentality, and misrecognition. Comparative studies document how English policies correlate with social stratification and unequal outcomes; policy analyses show development rhetoric promotes English as a pathway to mobility; sociological work (Bourdieu-style) links linguistic capital to school advantage; Foucauldian studies trace assessment and surveillance technologies in schooling. Limitations remain: most studies operate at policy or system level with limited single-site participant voice; few integrate visual methods (photovoice) with interviews and observations; analytic transparency is often weak (unclear codebooks, limited intercoder protocols); affective dimensions and hospitality/exclusion (Ahmed-style) are under-documented in micro-interactions; and practical safeguards, translation QA, and sampling-saturation rules are frequently underspecified. These gaps reduce reproducibility and limit actionable, locally grounded recommendations.</w:t>
      </w:r>
    </w:p>
    <w:p>
      <w:r>
        <w:t xml:space="preserve"> </w:t>
      </w:r>
    </w:p>
    <w:p>
      <w:pPr>
        <w:pStyle w:val="Heading2"/>
      </w:pPr>
      <w:r>
        <w:t>Abstract</w:t>
      </w:r>
    </w:p>
    <w:p>
      <w:r>
        <w:t>This study examines how English-in-education policy framed as 'development' is experienced by low-socioeconomic-status students and parents in a single Bangladeshi school. We use a qualitative, theory-informed approach combining interviews, focus groups, classroom observation, school documents, and student photovoice. Analysis applies a hybrid thematic method: a pre-specified codebook derived from Bourdieu (linguistic capital/habitus), Foucault (governmentality/technologies of rule), and Sara Ahmed (affect/hospitality), plus inductive subcodes. Double-coding, intercoder reliability checks, and aligned Bengali–English translation adjudication increase analytic transparency. The main contribution is an empirically grounded account of the mechanisms linking development rhetoric to family investments, school assessment practices, and everyday misrecognition and emotion. Expected outcomes include: (1) evidence linking policy framing to concrete household investments and classroom practices, (2) a reproducible codebook and analytic protocol, and (3) policy-relevant recommendations for more equitable language-in-education practices. Results aim to inform school-level practices and policy units responsible for curriculum and assessment.</w:t>
      </w:r>
    </w:p>
    <w:p>
      <w:r>
        <w:t xml:space="preserve"> </w:t>
      </w:r>
    </w:p>
    <w:p>
      <w:pPr>
        <w:pStyle w:val="Heading2"/>
      </w:pPr>
      <w:r>
        <w:t>Methodology</w:t>
      </w:r>
    </w:p>
    <w:p>
      <w:r>
        <w:t>1. Site and sample: select one low-SES urban or peri-urban Bangladeshi school. Use purposive stratified sampling within the site by grade band (primary vs lower secondary), gender, parental education (no formal, primary, secondary+), and scholarship status. Target counts below. 2. Instruments: semi-structured interview guides for principal, teachers, parents, and students; 4 FGDs (students by gender/grade); classroom observation checklist; photovoice prompts for students. 3. Data collection: conduct audio-recorded interviews (private space), 20 hours of classroom observation distributed across grades and teachers, and a photovoice exercise with 12–16 students trained on ethics. 4. Transcription/translation: transcribe verbatim in Bengali with timecodes and paralinguistic markers; produce aligned English translations; a bilingual adjudicator performs back-translation on 15% samples; maintain a shared glossary. 5. Analytic protocol: build a hybrid codebook with parent nodes (governmentality/technologies of rule; linguistic capital/habitus; misrecognition; affect/hospitality) and inductive subcodes. Double-code an initial 30% of transcripts; compute Cohen’s kappa (target ≥0.70). Use analytic memos after each interview, then produce thematic memos mapping empirical patterns to Bourdieu/Foucault/Ahmed. 6. Visual integration: apply visual semiotics (examining composition, objects, text in photos) and link each image to the student’s narrative; incorporate photo-derived codes into the codebook. (Visual semiotics = method for reading meaning in images: objects, framing, and symbols.) 7. Evidence synthesis: create stakeholder × code matrices and cross-case comparisons by strata to derive causal claims.</w:t>
      </w:r>
    </w:p>
    <w:p>
      <w:r>
        <w:t xml:space="preserve"> </w:t>
      </w:r>
    </w:p>
    <w:p>
      <w:pPr>
        <w:pStyle w:val="Heading2"/>
      </w:pPr>
      <w:r>
        <w:t>Experiments</w:t>
      </w:r>
    </w:p>
    <w:p>
      <w:r>
        <w:t>Dataset: primary field data collected at the single school: 1 principal interview, 8–12 teacher interviews, 12–16 parent interviews stratified by parental education, 16–20 student interviews across grades and gender, 4 FGDs, 20 classroom observation hours, and 12–16 photovoice participants producing 3–5 images each. Baselines: (A) thematic analysis without theory-driven codes (purely inductive), (B) single-coder analysis, (C) full data minus photovoice. Evaluation metrics: intercoder agreement (Cohen’s kappa) on double-coded 30% transcripts; thematic coverage overlap measured by Jaccard similarity between code sets; measurable evidence of household investment (count of reported/time/money indicators); affect coding frequency (counts of shame/pride utterances); member-check acceptance rate (percent of participants validating themes); blinded expert plausibility scores (3 external reviewers rate strength of claims on a 1–5 Likert scale). Experimental setup: pre-register codebook and data collection plan; collect full dataset. Perform primary analysis using full method (hybrid theory-led + inductive + photovoice). Ablation studies: 1) remove photovoice and re-run coding on text-only data; compare number of distinct codes related to home practices and affect (use paired t-test on counts); 2) replace double-coding with single-coder and compare kappa proxy via simulated split-sample; 3) run purely inductive coding and compute Jaccard similarity vs theory-driven code set. Statistical comparisons: compare counts or reviewer scores across conditions using t-tests or nonparametric Wilcoxon tests as appropriate (alpha=0.05). Back-translation QA: compute discrepancy rate as percent of sentence-level meaning mismatches on 15% sample; report as QA metric.</w:t>
      </w:r>
    </w:p>
    <w:p>
      <w:r>
        <w:t xml:space="preserve"> </w:t>
      </w:r>
    </w:p>
    <w:p>
      <w:pPr>
        <w:pStyle w:val="Heading2"/>
      </w:pPr>
      <w:r>
        <w:t>Risk Factors And Limitations</w:t>
      </w:r>
    </w:p>
    <w:p>
      <w:r>
        <w:t>1. Single-site limits: findings may not generalize beyond schools with similar SES, governance, and language-medium. 2. Recruitment and gatekeeper bias: school authorities may influence who participates. 3. Social desirability and power differentials: parents and students may alter responses to please interviewers or gatekeepers. 4. Translation error: meaning loss or nuance drift in Bengali↔English translation may bias analysis. 5. Intercoder reliability failure: if kappa remains below target, thematic claims lose rigor. 6. Safeguarding failures: inadequate referral response could harm participants. 7. Photovoice ethical risks: identifiable images could breach privacy. 8. Small sample quantitative comparisons: statistical tests on counts have low power and limited inferential weight. 9. Resource and time constraints: transcription, back-translation, and adjudication are time-consuming. 10. Legal/data jurisdiction: cross-border data mirrors may face transfer or jurisdiction restrictions.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