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opaque_ai_creativity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Empirical calibration of attribution and perceptual metrics to evaluate creativity claims for opaque AI-generated artifacts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Providing transparent process-level provenance and intentionality metadata causally increases human-rated creativity for AI-generated artifacts compared with presenting the same artifacts without such metadata.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uses embedding distances, surprisal/perplexity, perceptual metrics, and human ratings to measure novelty and value; attribution methods (nearest-neighbor retrieval, influence functions, TracIn, Shapley-style dataset scores) attempt to trace training-source influence; model cards and data sheets recommend process disclosure. Limitations: thresholds for memorization and intentionality are often heuristic and not empirically calibrated; attribution tools lack synthetic-ground-truth benchmarks and vary widely by domain; psychometric instruments for creativity lack standardized anchors and cross-domain invariance tests; prior comparisons rarely combine process-metadata, attribution-tool calibration, and human perception in preregistered designs; harms from false attributions and governance for embargoed provenance data are underdeveloped.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studies whether opaque AI systems can justifiably be called "creative" by linking measured novelty, value, intentionality, and provenance signals to human creativity judgments. We build an explicit process-metadata rubric (design-level, process-level, perceived intentionality), create realistic synthetic-ground-truth datasets that encode memorization, interpolation, and novelty, and benchmark attribution methods (nearest-neighbor, TracIn, influence functions, Shapley-style scores) against these ground truths. We run preregistered mixed-effects experiments across visual, textual, and musical domains that manipulate framing (human-made, AI-transparent, AI-opaque, AI-curated) and collect multi-item human ratings to form a validated creativity composite. Main contributions are (1) calibrated decision thresholds for memorization and intentionality grounded in pilot data, (2) validated attribution-tool performance and failure modes, and (3) an operational pipeline tying process metadata to human perception with governance-ready provenance workflows. Expected outcomes include reproducible thresholds, transparent rubrics, and evidence on how process disclosure affects perceived creativity.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Define operational measures: novelty = embedding cosine distance (e.g., CLIP for images, text embeddings for text) and perceptual metrics (LPIPS for images); statistical novelty = negative log-likelihood (perplexity) for sequence models; provenance-entropy = normalized entropy over dataset-attribution scores. 2) Build a process-metadata rubric: fields for training-data sources, licensing, model config, prompts/constraints, timestamps of edits, curation actions; each field coded as binary/likert and assembled into a process vector. 3) Create synthetic-ground-truth data: plant exact memorized exemplars, mix k-source interpolations at controlled ratios, and hold out novel sets. "Memorization" means near-exact reuse; "interpolation" means systematic blends of training items. 4) Generate artifacts: train or sample GANs, diffusion models, and LLMs on domain corpora and produce sets under controlled seeds and ablations. 5) Benchmark attribution tools: run nearest-neighbor retrieval, TracIn, influence functions, and Shapley-style scores on synthetic sets and compute precision/recall and calibration curves. 6) Develop psychometric instruments: 1–7 Likert items for novelty, value (aesthetic/pragmatic/epistemic), intentionality (design/process/perceived), 0–100 authorship slider, plus open text sensemaking. 7) Coder training: create exemplar-anchored guides, double-code until Cohen's kappa &gt; 0.7, monitor drift. 8) Human experiments: within-subject framing manipulations across artifacts; collect demographics and cultural background. 9) Analysis: preregistered mixed-effects models and mediation tests linking process-vector → perceived intentionality → creativity composite; sensitivity sweeps vary thresholds ±20%. 10) Governance: define embargo tiers and NDA procedures for sensitive provenance.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public art-image corpora (e.g., WikiArt) plus Edmond de Belamy reproductions; (B) archival AARON outputs and documentation; (C) Next Rembrandt reconstruction materials or equivalent curated datasets; (D) synthetic-ground-truth sets with memorized/interpolated/novel items for image, audio, and text domains. Models: GANs/diffusion for images, transformer LLMs for text, and autoregressive or diffusion audio models for music. Baselines: human-made originals, AI-transparent (full process metadata), AI-opaque (no metadata), AI-curated (human-selected AI outputs). Attribution baselines: nearest-neighbor retrieval, TracIn, influence functions, Shapley-style dataset attribution. Evaluation metrics: creativity composite = normalized mean(novelty_score, value_score); novelty proxies = CLIP cosine distance percentile, LPIPS; statistical novelty = negative log-likelihood/perplexity; provenance-entropy ∈ [0,1]; attribution metrics = precision, recall, F1, calibration Brier score; psychometrics = ICC(2,k), Cronbach's alpha, CFA fit indices. Experimental setup: within-subjects design where each rater sees artifacts under varied framing; preregistered mixed-effects model spelled as: creativity_ij ~ framing + domain + opacity + novelty_proxy + intentionality_score + (1 + framing | rater) + (1 | item) + covariates(demographics, expertise). Power: run pilot to estimate ICC and simulate to reach 80% power for Cohen's d=0.5 per primary contrast; initial conservative target: 200 raters per domain with repeated items (adjust after pilot). Comparison/ablation: (i) attribution-tool ablation: evaluate each attribution method on synthetic-ground-truth and report per-method precision/recall; (ii) synthetic→real transfer: apply tuned thresholds from synthetic tests to historical cases (Edmond de Belamy, AARON) and report changes in attribution probability and human-judged creativity. Predefined decision rules: if model convergence fails, switch to maximal-random-effects removal in a fixed sequence and report alternatives; if measurement invariance fails across domains, run domain-specific models.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attribution tools may not generalize from synthetic to real data, causing miscalibrated provenance-entropy. Data and licensing: some archival materials may be restricted, limiting case analysis. Psychometric biases: rater cultural and demographic biases can skew creativity ratings; measurement invariance across domains may fail. False attributions: high false-positive rates can cause ethical and reputational harm. Compute and scale: retraining ablations and large attribution analyses require significant GPU time and storage. Generalization limits: thresholds calibrated in chosen domains may not transfer to others (e.g., experimental music or non-Western art). Statistical issues: mixed-effects models may not converge with maximal random structure for small samples. Governance limits: embargoed provenance access requires legal and administrative workflows that can delay analysis. Interpretation limits: perceived creativity depends on framing and cultural norms; causal claims are limited to the preregistered manipulations and observed mediations.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