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social_cohesion_africa_msem</w:t>
      </w:r>
    </w:p>
    <w:p>
      <w:r>
        <w:t xml:space="preserve"> </w:t>
      </w:r>
    </w:p>
    <w:p>
      <w:pPr>
        <w:pStyle w:val="Heading2"/>
      </w:pPr>
      <w:r>
        <w:t>Title</w:t>
      </w:r>
    </w:p>
    <w:p>
      <w:r>
        <w:t>A Bayesian multilevel structural equation model to measure social cohesion in Africa by integrating Afrobarometer household data and V-Dem expert indicators</w:t>
      </w:r>
    </w:p>
    <w:p>
      <w:r>
        <w:t xml:space="preserve"> </w:t>
      </w:r>
    </w:p>
    <w:p>
      <w:pPr>
        <w:pStyle w:val="Heading2"/>
      </w:pPr>
      <w:r>
        <w:t>Short Hypothesis</w:t>
      </w:r>
    </w:p>
    <w:p>
      <w:r>
        <w:t>Integrating V-Dem country-year expert indicators as a Level-2 anchor into a Bayesian multilevel structural equation model of Afrobarometer household items will reduce country-level uncertainty and improve prediction of conflict and public-service uptake outcomes compared to models using Afrobarometer data alone.</w:t>
      </w:r>
    </w:p>
    <w:p>
      <w:r>
        <w:t xml:space="preserve"> </w:t>
      </w:r>
    </w:p>
    <w:p>
      <w:pPr>
        <w:pStyle w:val="Heading2"/>
      </w:pPr>
      <w:r>
        <w:t>Related Work</w:t>
      </w:r>
    </w:p>
    <w:p>
      <w:r>
        <w:t>Prior approaches measure social cohesion using survey-based composites (household perceptions of trust, identity, cooperation) or expert-coded indices (institutional quality, rule of law). Survey composites often rely on simple aggregations, principal components, or confirmatory factor analysis and face measurement non-invariance across countries and rounds. Expert indices (like V-Dem) provide country-level institutional signals but do not capture individual perceptions and carry coder uncertainty. Existing methods rarely integrate household and expert data in a single model that: (1) propagates both respondent and coder uncertainty, (2) respects complex survey design (strata, clusters, weights), and (3) preregisters decision rules for invariance, missing data, and aggregation. Limitations include opaque weighting, weak cross-country comparability, ignored survey design in multilevel latent models, small-N instability at country level, and limited reproducibility.</w:t>
      </w:r>
    </w:p>
    <w:p>
      <w:r>
        <w:t xml:space="preserve"> </w:t>
      </w:r>
    </w:p>
    <w:p>
      <w:pPr>
        <w:pStyle w:val="Heading2"/>
      </w:pPr>
      <w:r>
        <w:t>Abstract</w:t>
      </w:r>
    </w:p>
    <w:p>
      <w:r>
        <w:t>Measuring social cohesion across African countries requires an operational, comparable index that combines people’s experiences with country-level institutional context. We propose a Bayesian multilevel structural equation model (MSEM) that defines social cohesion as three attributes—inclusive identity, trust, and cooperation—operating on horizontal (within/across groups) and vertical (state institutions) dimensions. At Level-1 the model estimates latent factors from Afrobarometer household items; at Level-2 it anchors the vertical domain with V-Dem expert-coded country-year indicators, incorporating their reported posterior uncertainty as known measurement error. The approach explicitly models complex survey design, tests measurement invariance with alignment optimization, and produces uncertainty-aware country scores. Main contributions are (1) a reproducible, pre-registered measurement pipeline that propagates both respondent and coder error, (2) explicit decision rules for invariance, missing data, and aggregation, and (3) empirical validation against conflict and service-use outcomes. Expected outcomes are more precise, policy-relevant cohesion scores with transparent uncertainty for African countries.</w:t>
      </w:r>
    </w:p>
    <w:p>
      <w:r>
        <w:t xml:space="preserve"> </w:t>
      </w:r>
    </w:p>
    <w:p>
      <w:pPr>
        <w:pStyle w:val="Heading2"/>
      </w:pPr>
      <w:r>
        <w:t>Methodology</w:t>
      </w:r>
    </w:p>
    <w:p>
      <w:r>
        <w:t>1) Indicator inventory: compile Afrobarometer item IDs and verbatim questions mapped to three attributes (inclusive identity, interpersonal trust, cooperation) and institutional trust; collect V-Dem codes for vertical indicators. 2) Data linkage: match each Afrobarometer country-round to the corresponding V-Dem country-year or a short moving average. 3) Model structure: build a Bayesian multilevel structural equation model (MSEM). Level-1 (individual): items load on first-order latent factors for horizontal attributes and a perceived vertical factor. Level-2 (country-year): a latent vertical factor Z_c is measured by V-Dem indicators; Z_c links to a second-order global cohesion factor. 4) Propagate coder uncertainty: treat V-Dem posterior variances as known measurement-error variances or draw indicator samples within each MCMC iteration so uncertainty flows into Z_c. 5) Survey design: incorporate Afrobarometer strata, PSU clustering, and sampling weights via one of: pseudo-likelihood adjustments, post-stratification of level weights, or using replicate weights in estimation; document choice and implement as model option. 6) Measurement invariance: apply alignment optimization to detect non-invariant items; if needed apply partial invariance by freeing loadings/intercepts per pre-registered rules. 7) Missing data: implement joint Bayesian imputation inside the MSEM so missingness is modeled with latent factors; alternatively run multiple imputation compatible with the SEM. 8) Priors and computation: use weakly informative priors for loadings and variance parameters; run Hamiltonian Monte Carlo (Stan) with diagnostics Rhat and effective sample size. 9) Outputs: produce country-level posterior means and credible intervals, alternative aggregations (equal, PCA, uncertainty-weighted), and reproducible code with Docker. (Technical terms explained: latent factor = an unobserved variable inferred from multiple survey questions; MCMC = Markov Chain Monte Carlo, a method to draw samples from the Bayesian posterior.)</w:t>
      </w:r>
    </w:p>
    <w:p>
      <w:r>
        <w:t xml:space="preserve"> </w:t>
      </w:r>
    </w:p>
    <w:p>
      <w:pPr>
        <w:pStyle w:val="Heading2"/>
      </w:pPr>
      <w:r>
        <w:t>Experiments</w:t>
      </w:r>
    </w:p>
    <w:p>
      <w:r>
        <w:t>Datasets: Afrobarometer consolidated individual respondent data across rounds covering available African countries; V-Dem country-year posterior means and posterior standard errors for selected vertical indicators (rule of law, government effectiveness, control of corruption, civil liberties, electoral integrity, repression, media/civil society space). Baselines: (A) Afrobarometer-only Bayesian MSEM; (B) Frequentist multilevel CFA (lavaan/mplus) using design corrections; (C) Simple aggregate indices: equal-weight average and PCA-derived score. Evaluation metrics: country-level posterior standard deviation (uncertainty), predictive validity (out-of-sample RMSE and AUC for binary conflict onset or local violence), correlation and mean absolute error against external service-use outcomes (health/vaccination uptake, tax compliance), measurement invariance fit indices (ΔCFI, ΔRMSEA), and calibration (coverage of 90% credible intervals). Experimental setup: 1) Primary comparison: run full Bayesian MSEM with V-Dem anchoring and compare to baseline A-C on uncertainty and predictive metrics. 2) Ablation studies: remove V-Dem anchoring, remove vertical perceived factor, and run with alternative V-Dem temporal matching (survey year, 1-year MA, 3-year MA). 3) Weighting sensitivity: compute alternative aggregations (equal, PCA, CFA-derived, theory-driven vertical-heavy) and report differences in country ranks and score correlations. 4) Priors sensitivity: run models with default weakly informative priors and with more informative priors; report changes in posterior means and uncertainty. 5) Small-N test: simulate reduced respondent samples per country (e.g., 50, 100, 200) to estimate minimal respondents needed for a given CI width; predefine thresholds for minimum N and aggregation rules. Implementation details: run HMC with 4 chains, 2000 warmup + 2000 sampling iterations; require Rhat &lt; 1.05 and ESS &gt; 200 for parameters of interest; provide frequentist MSEM robustness runs with design-aware estimators. Reproducibility: publish scripts, container, and pre-registered analysis plan.</w:t>
      </w:r>
    </w:p>
    <w:p>
      <w:r>
        <w:t xml:space="preserve"> </w:t>
      </w:r>
    </w:p>
    <w:p>
      <w:pPr>
        <w:pStyle w:val="Heading2"/>
      </w:pPr>
      <w:r>
        <w:t>Risk Factors And Limitations</w:t>
      </w:r>
    </w:p>
    <w:p>
      <w:r>
        <w:t>1) Complex survey integration: Bayesian MSEM may not fully capture design-based variance if weights/replicates are incompatible, producing biased variance estimates. 2) Small-N country-years: low respondent counts in some country-rounds can produce wide or unstable latent factor posteriors, limiting country comparisons. 3) V-Dem coder bias and low signal: high posterior SEs or systematic coder bias can weaken the anchor or mislead vertical estimates. 4) Measurement non-invariance: alignment optimization may yield approximate invariance that complicates substantive interpretation across groups. 5) Missing data: non-ignorable missingness or unit nonresponse can bias latent estimates if not correctly modeled. 6) Computational limits: MSEM with large individual-level data and measurement error can be slow or fail to converge; MCMC diagnostics may indicate poor mixing. 7) Temporal mismatch and shocks: rapid political shocks may not be captured by chosen V-Dem smoothing windows, producing temporal misalignment. 8) Social desirability and sensitive items: respondent bias on trust/cooperation items may distort latent estimates. 9) Generalization: pilot-country choices and Afrobarometer coverage limit inference to countries and rounds observed; findings may not generalize to non-surveyed subnational contexts. 10) Reproducibility dependencies: access restrictions to raw microdata (DUAs) or V-Dem coder files can limit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