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resisting_affective_signals</w:t>
      </w:r>
    </w:p>
    <w:p>
      <w:r>
        <w:t xml:space="preserve"> </w:t>
      </w:r>
    </w:p>
    <w:p>
      <w:pPr>
        <w:pStyle w:val="Heading2"/>
      </w:pPr>
      <w:r>
        <w:t>Title</w:t>
      </w:r>
    </w:p>
    <w:p>
      <w:r>
        <w:t>A hierarchical state-space and multimodal measurement test of whether experienced effort arises from resisting affective behavior-guiding signals</w:t>
      </w:r>
    </w:p>
    <w:p>
      <w:r>
        <w:t xml:space="preserve"> </w:t>
      </w:r>
    </w:p>
    <w:p>
      <w:pPr>
        <w:pStyle w:val="Heading2"/>
      </w:pPr>
      <w:r>
        <w:t>Short Hypothesis</w:t>
      </w:r>
    </w:p>
    <w:p>
      <w:r>
        <w:t>When affective signal strength (S_t) is increased while control allocation (u_t) is held constant, subjective effort reports (E_t) will increase proportionally due to an increase in the residual resisted signal R_t = max(0, S_t - u_t).</w:t>
      </w:r>
    </w:p>
    <w:p>
      <w:r>
        <w:t xml:space="preserve"> </w:t>
      </w:r>
    </w:p>
    <w:p>
      <w:pPr>
        <w:pStyle w:val="Heading2"/>
      </w:pPr>
      <w:r>
        <w:t>Related Work</w:t>
      </w:r>
    </w:p>
    <w:p>
      <w:r>
        <w:t>Existing approaches explain experienced effort mainly as a cost signal (cost-of-control) or as opportunity costs that track foregone alternatives. Computational control models map effort to control allocation costs; opportunity-cost models map effort to value trade-offs; homeostatic and predictive-resource views link effort to deviation from set-points or expectation errors. Empirical work uses self-report, single physiological markers (pupil, SCR), and region-of-interest imaging (dACC, anterior insula, dlPFC). Limitations: (1) Many studies conflate phenomenological reports with assumed cost signals and do not separate a resisted affective input from control allocation; (2) Most work focuses on one domain (cognitive or physical) so cross-domain generality is untested; (3) Identifiability is weak because S_t and u_t are often collinear or not independently manipulated; (4) Few studies use multimodal latent measurement or preregistered model comparisons against concrete alternatives; (5) Causal perturbation evidence (to dissociate u_t vs R_t) is sparse or not combined with trialwise affective manipulations.</w:t>
      </w:r>
    </w:p>
    <w:p>
      <w:r>
        <w:t xml:space="preserve"> </w:t>
      </w:r>
    </w:p>
    <w:p>
      <w:pPr>
        <w:pStyle w:val="Heading2"/>
      </w:pPr>
      <w:r>
        <w:t>Abstract</w:t>
      </w:r>
    </w:p>
    <w:p>
      <w:r>
        <w:t>We test the hypothesis that the felt experience of effort arises when agents resist directed, valenced affective signals (hunger, pain, fatigue, temptation, anxiety), rather than primarily from abstract control costs or opportunity costs. We propose a preregistered pipeline combining (1) exogenous, graded manipulations of affective signal strength (S_t) and orthogonal task difficulty (D_t) across cognitive, physical, and humanities tasks, (2) a hierarchical state-space model in which control allocation u_t evolves over time and the resisted signal R_t = max(0,S_t - u_t) drives phenomenology, and (3) a multimodal latent Eff measure that fuses self-report, pupil, skin conductance, heart-rate variability, facial EMG, and performance. We will compare the resisting-affective-signals model against cost-based and opportunity-cost competitors using cross-validated predictive metrics and Bayes factors, and test causal links with dlPFC perturbation. The main contribution is a falsifiable, cross-domain test that maps first-person effort to separable latent components (S_t, u_t, R_t) and provides concrete criteria for identifiability. Expected outcome: clear model selection evidence and neural/physio markers that dissociate resisted affective signal from control allocation.</w:t>
      </w:r>
    </w:p>
    <w:p>
      <w:r>
        <w:t xml:space="preserve"> </w:t>
      </w:r>
    </w:p>
    <w:p>
      <w:pPr>
        <w:pStyle w:val="Heading2"/>
      </w:pPr>
      <w:r>
        <w:t>Methodology</w:t>
      </w:r>
    </w:p>
    <w:p>
      <w:r>
        <w:t>1. Operationalize S_t and D_t: For each domain define three S_t levels (low/medium/high) with objective manipulations and subjective anchors. Examples: hunger via fasting durations with a hunger visual analog scale; pain via calibrated thermal stimuli with continuous pain ratings; temptation via cue-based reward offers with urge ratings; fatigue via sustained effort producing KSS increases; anxiety via threat probability. D_t is orthogonal: cognitive N-back levels, physical %MVC grip resistance, humanities reading complexity × time pressure. 2. Task design: Fully cross S_t × D_t within-subject, randomize trials, collect trialwise continuous self-report E_t (slider) and trial markers. 3. Multimodal measurement: Record pupil diameter, skin conductance (SCR), heart-rate variability (HRV), facial EMG, response time/accuracy/force, and fMRI/EEG where applicable. Explain terms: HRV = variation in time between heartbeats; EMG = muscle electrical activity often used to index facial expression. 4. Latent measurement: Fit a confirmatory factor model where observed modalities load onto a single Eff latent per trial. Loadings are estimated hierarchically across subjects and domains; allow domain-specific loadings if invariance fails. 5. State-space model: Implement u_{i,t} = a_u·u_{i,t-1} + b_u·I_{i,t} + η_{i,t}; R_{i,t} = max(0,S_{i,t} - u_{i,t}); Eself_{i,t} = α1·u_{i,t} + α2·R_{i,t} + α3·D_{i,t} + ε_{i,t}. Explain terms: state-space means a model where hidden (latent) variables evolve over time and generate observations. 6. Inference: Fit hierarchical Bayesian models (Stan or PyMC) with weakly informative priors, run prior-predictive checks, and parameter-recovery simulations. 7. Model comparison: Pre-register competing models (resistance, control-cost, opportunity-cost, homeostatic, predictive-learning) and compare via leave-one-out cross-validation (LOO), WAIC, cross-validated predictive accuracy, and Bayes factors. 8. Causal tests: Apply dlPFC perturbation (sham-controlled TMS or cTBS) to modify u_t baseline and use instrumental manipulations (incentives, attentional load) to selectively alter u_t. 9. Data pipelines: Use time synchronization (Lab Streaming Layer), BIDS formatting, containerized preprocessing, and preregister analysis scripts. 10. Reporting: Predefine QC thresholds, stopping rules, and confirmatory vs exploratory analyses.</w:t>
      </w:r>
    </w:p>
    <w:p>
      <w:r>
        <w:t xml:space="preserve"> </w:t>
      </w:r>
    </w:p>
    <w:p>
      <w:pPr>
        <w:pStyle w:val="Heading2"/>
      </w:pPr>
      <w:r>
        <w:t>Experiments</w:t>
      </w:r>
    </w:p>
    <w:p>
      <w:r>
        <w:t>1. Tasks and manipulations: Three domains with full S_t (3 levels) × D_t (3 levels) within-subject design. Cognitive: N-back with levels 2/3/4; hunger manipulation: fasting 2/6/12 hours with food cues as S_t. Physical: isometric grip at %MVC 20/50/80 with thermal pain S_t calibrated low/med/high. Humanities: reading passages low/med/high complexity with time pressure; temptation via monetary immediate vs delayed offers. 2. Pilot and samples: Pilot N=24-32 for calibration and parameter recovery; confirmatory fMRI N=40-60; TMS/multi-session N≥60-80. Trials: aim for 20-30 trials per cell (3×3 design) → ~180-270 trials per domain per subject across sessions. 3. Baselines and competitor models: (A) resisting-affective-signals model (state-space with R_t), (B) pure control-cost model (E_t driven by u_t cost only), (C) opportunity-cost model (E_t reflects value of alternatives), (D) homeostatic set-point model, (E) predictive-resource learning model. 4. Metrics: Model comparison: LOO, WAIC, cross-validated predictive accuracy, Bayes factors. Behavioral/physio metrics: mean E_t, RT, accuracy, force, pupil dilation magnitude, SCR amplitude, HRV (RMSSD), facial EMG amplitude. Neural metrics: ROI BOLD parameter estimates (anterior insula, dACC, dlPFC), EEG time-frequency power in preregistered epochs. 5. Analysis setup: Preprocess fMRI with standard pipelines; sync physio to trials; fit hierarchical Bayesian measurement + state-space model to all modalities; run posterior predictive checks. 6. Ablations and comparisons: (A) Ablation 1: fit model with α2 forced to zero (no R_t influence) to test necessity of R_t. (B) Ablation 2: fit measurement model using self-report only to test gain of multimodal fusion. (C) Stimulation contrast: dlPFC real vs sham pre-block cTBS; test predicted decrease in inferred u_t and increase in R_t and Eff. 7. Evaluation: Report model ranking, effect sizes and credible intervals for α1 and α2, predictive accuracy on held-out data, parameter recovery statistics, and ROI/physio associations. 8. Decision thresholds: declare model support when LOO differences exceed standard error and posterior probability &gt;95% for key parameters; report sensitivity curves from simulations.</w:t>
      </w:r>
    </w:p>
    <w:p>
      <w:r>
        <w:t xml:space="preserve"> </w:t>
      </w:r>
    </w:p>
    <w:p>
      <w:pPr>
        <w:pStyle w:val="Heading2"/>
      </w:pPr>
      <w:r>
        <w:t>Risk Factors And Limitations</w:t>
      </w:r>
    </w:p>
    <w:p>
      <w:r>
        <w:t>1. Identifiability: S_t and u_t may remain collinear despite orthogonal design, limiting ability to separate R_t from control allocation. 2. Manipulation fidelity: Affect manipulations (pain, hunger, temptation) may vary across subjects and produce heterogeneous responses, reducing power. 3. Measurement noise: Physiological streams (pupil, SCR, HRV, EMG, EEG) can be noisy or have missing segments, harming the latent Eff estimate. 4. Stimulation specificity: Noninvasive stimulation (TMS, tDCS) may not selectively target dACC/insula or may have weak effects, complicating causal inference. 5. Sample size and compute: Hierarchical Bayesian state-space fits with multimodal data are computationally intensive and require large N for stable estimates; resource limits may force simpler models. 6. Generalization: A single latent Eff factor may not be invariant across domains; cross-domain noninvariance would limit claims about a unified mechanism. 7. Ethical constraints: Pain, hunger, or threat manipulations have safety and consent limits that may cap effect sizes. 8. Model misspecification: The chosen parametric form (max(0,S_t - u_t)) may be an incorrect simplification of neural or phenomenological processes. 9. Evaluation bias: Model comparison metrics depend on priors and preprocessing choices; results can be sensitive to these analytic decisions. 10. Interpretability: Even with statistical separation, mapping latent parameters to first-person phenomenology may remain ambiguous.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