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history_therapy_framework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History Therapy: a randomized trial of structured historical worldview exposure to improve presence of meaning in life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Participants receiving History Therapy (structured exposure to curated alternative historical worldviews plus guided reflection) will show greater improvement in presence of meaning in life (MLQ–Presence score at post-treatment) than participants receiving values-based psychoeducation with structured journaling.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include meaning-centered therapies, narrative therapy, bibliotherapy (structured reading), expressive writing, values-based psychoeducation, and supportive reflective therapy. These methods target meaning, identity, or affect but differ in mechanism: expressive writing and bibliotherapy rely on personal narrative production; meaning-centered therapies focus on life purpose and values; values-based psychoeducation teaches value clarification and homework; supportive therapy provides empathic discussion without structured exposure. Limits: most prior methods do not use curated alternative worldviews as systematic exposure; studies often lack standardized, replicable content libraries and provenance metadata; mediation pathways (how change happens through narrative restructuring) are under-tested or underpowered; cross-cultural adaptation and community co‑production are rarely formalized; therapist fidelity and active expectancy matching are inconsistently controlled; safety monitoring for emotionally provocative content is often ad hoc. These gaps limit causal claims about exposure-to-worldviews as a mechanism for meaning change and reduce reproducibility across cultures.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History Therapy, a structured intervention that exposes participants to curated historical worldviews paired with guided reflection to promote meaning-making and well-being. The core problem is whether systematic, replicable exposure to alternative historical perspectives can cause measurable increases in presence of meaning in life. We will run staged pilots followed by a preregistered randomized controlled trial comparing History Therapy to a values-based psychoeducation plus structured journaling control. Primary outcome is Meaning in Life Questionnaire – Presence subscale (MLQ–Presence) at post-treatment. Secondary outcomes include mental well-being, depression, anxiety, identity coherence, cognitive flexibility, and narrative complexity. We will pre-specify mediation tests to evaluate whether changes in narrative complexity and cognitive flexibility explain outcome change, and we will model therapist and site clustering with mixed-effects models. The contribution is an interdisciplinary, trial-ready framework that pairs curated historical content, cultural governance, coder-validated narrative measures, and digital safety validation to assess whether historical worldview exposure causally supports meaning and well-being.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Intervention: History Therapy (HT) is a manualized 6–8 session program. Each session has (1) a brief safety check, (2) standardized exposure to a curated historical worldview module (reading/audio/visual, Duration in minutes recorded), (3) guided reflective prompts led by a trained therapist, (4) an integration exercise linking material to personal life, and (5) homework (written reflection). Curated modules include provenance metadata and trigger flags. Dose metrics: DoseDuration (minutes), DoseIntensity (1–5), Immersion VAS (0–100). Training and fidelity: therapists complete 20 hours of HT training; fidelity rated by checklist (adherence percent, competence 1–5). Screening: PHQ-9, C-SSRS, brief psychosis screen; exclude unmanaged psychosis or imminent suicide. Safety monitoring: automated text/audio screening via an NLP safety classifier (human-in-loop); high-risk alerts require clinician review within 30 minutes. Measurement: primary outcome MLQ–Presence at post-treatment (T2). Mediators measured at mid-treatment (T1) include narrative complexity (coded homework), cognitive flexibility (CFI), and perspective-taking (IRI subscale). Coding: iterative codebook, rater training (~16 hours), dual-code 25% with ICC target ≥.80 (agreement measure; ICC = intraclass correlation). Analysis: primary ITT (intention-to-treat) mixed-effects linear model with random intercepts for site and therapist; covariates include baseline outcome, age, trauma history. Mediation via multilevel structural equation modeling (SEM) with bootstrap CIs. Missing data: multiple imputation by chained equations (MICE) for primary analyses; per-protocol defined as ≥80% adherence.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Design: three-stage plan. Stage 1 pilot: N=60–80 to test materials, safety pipeline, and initial SD estimates. Stage 2 expanded pilot: N=80–120 to refine fidelity and coder workflows; include an internal pilot ablation randomizing HT participants to full HT vs exposure-only (no guided integration) to test mechanism. Stage 3 confirmatory RCT: enroll N=375 to achieve ~N=300 completers; randomized 1:1 (HT vs values-based psychoeducation + structured journaling control). Timepoints: baseline T0, mid-treatment T1 (after session 3), post-treatment T2 (primary), 3-month follow-up T3. Inclusion: adults 18–65, able to consent, sufficient language fluency for chosen modules; exclusion: unmanaged psychosis, active high imminent suicidal intent per C-SSRS. Measures: primary MLQ–Presence at T2; secondary WEMWBS (wellbeing), PHQ-9, GAD-7, ANIQ and SCCS (identity coherence), CFI (cognitive flexibility), narrative-complexity score (coded). Baselines/demographics collected. Baseline comparators: values-based psychoeducation + journaling (primary active control). Exploratory comparator in pilots: supportive reflective therapy. Evaluation metrics: primary effect size (mean difference in MLQ–Presence), 95% CI, p-value two-tailed α=0.05; hierarchical testing: MLQ first, if significant test WEMWBS. Models: linear mixed-effects model: outcome_ij = β0 + β1*arm + β2*baseline + u_site + u_therapist + e_ij (random intercepts u_site, u_therapist). ICC assumptions: therapist/site ICC range 0.01–0.05 used for planning. Missing data: MICE with 50 imputations including predictors and auxiliary variables. Mediation: multilevel SEM with mediators at T1, outcome at T2, bootstrap 5,000 CI. Power: with α=0.05 two-tailed, 80% power, assumed d=0.40 (moderate), enroll N=375 to yield ≈300 completers; this yields power ≈80% for direct effect under ICC≤0.03. Ablation: compare HT-full vs exposure-only on mediator change (n≈40 per arm in pilot) using t-tests and mediation models. Baseline checks, balance tests, and per-protocol analyses (≥80% adherence) also run. Multiplicity: FDR (Benjamini-Hochberg) for secondary outcomes. Pre-registration: analysis scripts, seeds, and model code to be archived with governance-consented de-identified data.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model risks: NLP safety classifier may have low sensitivity on small, nuanced datasets; 200 training cases can underfit complex language and cultural variants. Measurement risks: narrative-complexity coding may show low inter-rater reliability if codebook is unclear or if cultural expression varies. Power and effect-size: true effects may be smaller than assumed; mediation tests for small indirect effects may be underpowered. Clustering: therapist or site ICCs higher than expected will reduce effective sample size. Recruitment and retention: reaching quotas for marginalized groups and achieving 75–80% retention may fail. Safety: exposure to provocative historical content can increase short-term distress or trigger trauma in some participants. Ethical/cultural risks: perceived cultural appropriation, tokenism, or misrepresentation if co-production governance is weak. Data governance: cross-jurisdictional privacy laws (e.g., GDPR) complicate data sharing. Generalization limits: results may not generalize beyond studied languages, cultures, age ranges, or clinical severity. Resource limits: therapist training time, coder availability, and compute for NLP retraining can constrain scaling. Regulatory risk: IRB/ethics boards may require stricter safety or consent provisions than planned.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