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sibhudu_single_indentation</w:t>
      </w:r>
    </w:p>
    <w:p>
      <w:r>
        <w:t xml:space="preserve"> </w:t>
      </w:r>
    </w:p>
    <w:p>
      <w:pPr>
        <w:pStyle w:val="Heading2"/>
      </w:pPr>
      <w:r>
        <w:t>Title</w:t>
      </w:r>
    </w:p>
    <w:p>
      <w:r>
        <w:t>Single-indentation measurement of hardness and effective stiffness to predict raw-material selection and tool shape at Sibhudu</w:t>
      </w:r>
    </w:p>
    <w:p>
      <w:r>
        <w:t xml:space="preserve"> </w:t>
      </w:r>
    </w:p>
    <w:p>
      <w:pPr>
        <w:pStyle w:val="Heading2"/>
      </w:pPr>
      <w:r>
        <w:t>Short Hypothesis</w:t>
      </w:r>
    </w:p>
    <w:p>
      <w:r>
        <w:t>Hardness and effective Young's modulus (Eeff) derived from a single, well‑calibrated indentation test with explicit Poisson's-ratio uncertainty will predict raw-material selection and edge form in Sibhudu assemblages better than material-category alone.</w:t>
      </w:r>
    </w:p>
    <w:p>
      <w:r>
        <w:t xml:space="preserve"> </w:t>
      </w:r>
    </w:p>
    <w:p>
      <w:pPr>
        <w:pStyle w:val="Heading2"/>
      </w:pPr>
      <w:r>
        <w:t>Related Work</w:t>
      </w:r>
    </w:p>
    <w:p>
      <w:r>
        <w:t>Existing work measures stone-tool mechanical properties using separate methods: hardness often by Knoop or Vickers indentation, stiffness (Young's modulus) from resonant ultrasound or ultrasonic pulse tests, and fracture proxies from indentation crack-length (Anstis) or direct toughness tests. Experimental knapping studies link these properties to tool shape and edge performance. Limitations include: (1) need for multiple specialised instruments making large samples expensive; (2) common use of point estimates without propagating Poisson's-ratio uncertainty into stiffness; (3) indentation crack-length proxies (Anstis) are biased in coarse or heterogeneous rocks and lack clear discard rules; (4) poor registration between indent locations and microstructure reduces interpretability; (5) many studies omit open, machine-readable data and uncertainty quantification. These gaps limit reproducible prediction of raw-material choice and tool morphology from mechanical metrics.</w:t>
      </w:r>
    </w:p>
    <w:p>
      <w:r>
        <w:t xml:space="preserve"> </w:t>
      </w:r>
    </w:p>
    <w:p>
      <w:pPr>
        <w:pStyle w:val="Heading2"/>
      </w:pPr>
      <w:r>
        <w:t>Abstract</w:t>
      </w:r>
    </w:p>
    <w:p>
      <w:r>
        <w:t>We propose a simplified protocol that uses a single indentation test to obtain both hardness and an effective stiffness estimate (Eeff) for stone raw materials from Sibhudu. The protocol records full load–displacement curves, enforces an indent‑size rule tied to modal grain size, measures or constrains Poisson's ratio, and propagates its uncertainty into Eeff. We add fracture-related proxies and controlled knapping trials to test functional links between mechanical metrics and tool-edge outcomes. The main contribution is a reproducible, low‑throughput workflow that produces hardness and stiffness with credible intervals from one instrumented test and that is validated against direct fracture tests and knapping results. Expected outcomes are: (1) method validation showing when single-indentation metrics are informative, (2) statistical models that compare indentation metrics with material-category baselines, and (3) an open data package of raw curves, microstructure maps, and propagated uncertainties to support archaeological inference at Sibhudu.</w:t>
      </w:r>
    </w:p>
    <w:p>
      <w:r>
        <w:t xml:space="preserve"> </w:t>
      </w:r>
    </w:p>
    <w:p>
      <w:pPr>
        <w:pStyle w:val="Heading2"/>
      </w:pPr>
      <w:r>
        <w:t>Methodology</w:t>
      </w:r>
    </w:p>
    <w:p>
      <w:r>
        <w:t>1) Sample selection and metadata: assign unique IDs, CT-scan each specimen to record microstructure and modal grain size, and log cortex/weathering state. 2) Pilot indent-size rule: for each material, measure modal grain diameter from CT. Choose a load producing a lateral indent diameter &gt;= 3–5× modal grain size. Run pilot indents across a load range (nominally 200–500 mN for fine-grained siliceous rocks; higher for coarse quartzite) to lock loads. 3) Indentation protocol: use Berkovich indents for mapping and a spherical tip subset (radius ~25–50 µm) on representative zones. Record full force–displacement (F–D) curves, use fixed dwell times (10–30 s), and perform daily calibrations and fused-silica checks. 4) Poisson's-ratio handling: measure v on representative blocks by ultrasonic pulse-velocity or resonant ultrasound where possible; if not, adopt informed material-specific priors. 5) Compute H and Er from F–D curves using standard Oliver–Pharr analysis; convert Er to Eeff by Eeff = Er/(1 - v^2) while propagating v and Er uncertainty via Monte Carlo sampling or joint Bayesian modeling. (Oliver–Pharr is a common method to extract hardness and modulus from indentation curves.) 6) Fracture proxies: perform a set of high-load indents to measure crack lengths for Anstis-style proxies, collect SEM/µCT images of indent zones to map microcracks, and run direct fracture tests (single-edge-notched beam or micro-cantilever) on representative blocks. 7) Knapping validation: produce standardized blanks with measured H and Eeff, perform controlled knapping trials with recorded initial edge angle and repeated use, and measure edge-angle retention, flake morphology, and number of usable blows. 8) Data and reproducibility: store raw F–D curves, CT stacks, micrographs, processed H/Er/Eeff with propagated uncertainties, calibration logs, and analysis code in an open repository.</w:t>
      </w:r>
    </w:p>
    <w:p>
      <w:r>
        <w:t xml:space="preserve"> </w:t>
      </w:r>
    </w:p>
    <w:p>
      <w:pPr>
        <w:pStyle w:val="Heading2"/>
      </w:pPr>
      <w:r>
        <w:t>Experiments</w:t>
      </w:r>
    </w:p>
    <w:p>
      <w:r>
        <w:t>Datasets: (A) Archaeological set: N_arch specimens from Sibhudu across major raw materials (initial pilot 10–20 specimens per material, scale to ~30); CT and surface condition metadata. (B) Reference blocks: 10–20 blocks per material for Poisson and fracture tests. (C) Experimental knapping blanks: pilot 10–20 blanks per material, scaled as needed. Baselines: (1) material-category model predicting tool shape; (2) standard Knoop hardness + separate ultrasound-derived modulus; (3) point-estimate indentation model (no v uncertainty). Evaluation metrics: predictive ELPD and LOOIC for model comparison, AUC and Brier score for classification, RMSE for continuous predictions, posterior 95% credible-interval width for Eeff and H, edge-angle retention per blow (degrees/blow), number of usable blows to discard, and calibration plots. Indentation setup: Berkovich mapping with locked loads from pilot, spherical subset R≈25–50 µm, dwell 10–30 s, tip area-function calibration before/after batches. Poisson measurement: ultrasonic pulse-velocity on representative blocks; record measurement error. Fracture tests: SENB or micro-cantilever for KIC. Knapping trials: standardized blank geometry (edge length and thickness fixed), same hammer type, trained replicator(s), record per-blow edge-angle and flake metrics with high-speed photo where possible. Cross-validation: grouped CV with leave-one-specimen-out to avoid leakage. Ablation study: compare full model (H + Eeff + fracture proxies + microstructure covariates) vs (a) model without fracture proxies, (b) model using Eeff point estimates (no v uncertainty), and (c) material-category only. Report differences in ELPD with SE and percent change in predictive AUC/RMSE. Stopping rule: scale from pilot when posterior 95% CI for mean Eeff by material falls below pre-registered threshold (e.g., relative width &lt;10%) or predictive ELPD stabilizes.</w:t>
      </w:r>
    </w:p>
    <w:p>
      <w:r>
        <w:t xml:space="preserve"> </w:t>
      </w:r>
    </w:p>
    <w:p>
      <w:pPr>
        <w:pStyle w:val="Heading2"/>
      </w:pPr>
      <w:r>
        <w:t>Risk Factors And Limitations</w:t>
      </w:r>
    </w:p>
    <w:p>
      <w:r>
        <w:t>1) Poisson's-ratio uncertainty: inability to measure v on all materials may leave wide Eeff uncertainty. 2) Anstis proxy limits: crack-length toughness proxies are biased in coarse-grained or highly heterogeneous rocks and may be invalid for some specimens. 3) Registration error: µCT voxel size or stage repeatability may prevent the ideal ≤10–20 µm localization, reducing ability to link indents to microzones. 4) Sample and curation constraints: archaeological specimens may be unavailable for destructive tests or surface preparation; replicas may not exactly match originals. 5) Resource limits: limited µCT, SEM, indenter, or fracture-test access can reduce throughput and pilot scope. 6) Heterogeneity and scale effects: intrablock variability can dominate indent-to-indent variance, reducing predictive power. 7) Statistical limits: small sample sizes may yield wide posteriors and weak predictive gains over material-category. 8) Knapping variability: human operator differences and blank geometry effects can confound links between measured metrics and tool performance. 9) Generalization: results calibrated on Sibhudu materials may not transfer to other lithologies or cultural contexts. 10) Ethical/curatorial limits: protocols requiring surface removal, impregnation, or destructive sampling may be restricted by curators or laws.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