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pygmalion_golem_ai_narratives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multimodal causal-inference study of how cultural narratives in film and media shape AI research trajectories and regulatory outcomes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Greater population exposure to Pygmalion-framed AI narratives causes an increase in AI-related funding and patenting and a decrease in restrictive regulatory proposals within 6–12 months compared to equivalent exposure to Golem-framed narratives.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studies media framing and agenda-setting showing that news and film influence public opinion and policy attention; computational approaches extract frames and sentiment from text and sometimes images, and policy researchers use synthetic control and event-study methods to estimate media impacts on policy outcomes. Limitations include: most computational studies are single-modality (text-only), reducing sensitivity to visual/audio cues common in film; causal claims are often correlational without robust counterfactual designs; cross-cultural validation and translation procedures are rarely pre-registered; evaluation of exposure uses proxies (e.g., mentions) rather than measured audience exposure (box office, streaming hours, trailer impressions); and reproducibility details (data provenance, licensing constraints, pre-registered specifications) are commonly missing or incomplete.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cultural narratives about AI in film and media shape technological development and policy by combining multimodal measurement with causal inference. We build a continuous Pygmalion–Golem index (−1 to +1) from film scripts/subtitles, trailers (visual and audio cues), news coverage, and social amplification metrics (box office, streaming, impressions). We then link monthly narrative exposure to downstream outcomes: AI funding flows, patenting activity, and regulatory proposals. The main causal strategy uses synthetic control on comparable media/jurisdiction units, backed by event-study, interrupted time series, Granger/VAR tests for temporal precedence, and pre-registered instrumental-variable checks (exogenous distribution shocks). Contributions: (1) a reproducible multimodal exposure index with public codebook and benchmarks; (2) pre-registered causal estimates of narrative effects on research and policy; and (3) cross-cultural harmonization procedures to compare results across languages. Expected outcomes include quantitative bounds on narrative-driven changes in funding and policy activity and an open pipeline for future replication.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Corpus and exposure measurement: assemble a locked pilot corpus of 15 films (2000–2020), two news outlets (The New York Times, The Guardian), trailer/poster assets, social-media streams, box-office and streaming metrics, and monthly time series of funding, patents, and regulatory proposals for 2018–2022. Exposure metrics: (a) box office admissions per region, (b) streaming hours or view shares where available, (c) trailer impressions (platform analytics), and (d) social reach (engagement-weighted impression counts). Aggregate exposures to monthly regional series. 2) Index operationalization: define Pygmalion/Golem index on −1..+1. Extract text features (n-grams, sentiment, transformer embeddings), visual features (color, facial affect, framing via CNNs), and audio features (valence, arousal embeddings). Train supervised models (fine-tuned transformer for text; CNN-based visual encoder; audio encoder) and combine via late fusion (weighted average of modality scores). Late fusion means models for each modality produce scores, then combine them. 3) Annotation &amp; validation: create codebook v1 with archetypes, valence scales, and agency codes; double-code 20% of scenes; recruit ≥30 expert raters and ≥200 lay raters for convergent validity. Track Cohen’s kappa and ICC until targets met. 4) Causal design: specify DAG linking Narrative Exposure → Public Sentiment → Funding/Patents → Regulatory Action; primary estimator = synthetic control (matched donor pool), backups = event-study/ITS and VAR/Granger tests; prespecify donor covariates and spillover rules. 5) Instruments &amp; falsification: identify exogenous shocks (festival cancellations, geo-staggered releases, platform outages) and pre-register exclusion checks (no effect on unrelated outcomes). 6) Power &amp; pre-registration: run power calculations with pilot/historical series to set minimum detectable effects and sample/time requirements; pin all code/data manifests and preregister analysis pipeline. 7) Cross-cultural harmonization: forward/back-translation, bilingual coder calibration, and calibration anchors to align index thresholds across languages. 8) Reproducibility &amp; governance: containerized pipelines, versioned data (DVC), provenance (PROV), licensing registry, and IRB-approved experiment protocols.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film list (15 titles spanning 2000–2020), trailers/posters, news archives (NYT &amp; Guardian monthly counts), social media (platform API impressions/engagement), box office by region, streaming view metrics (where available), patent database (monthly AI-related patent counts), funding database (monthly AI grants/VC deals), and regulatory proposals calendar (monthly counts). Baselines: (B1) no-narrative model (outcome trend only), (B2) text-only narrative index, (B3) single-modality visual index, (B4) synthetic control without high-dimensional covariate adjustment. Classifier models: text model = fine-tuned transformer (e.g., DeBERTa/MPNet) with train/validation/test splits 70/15/15 stratified by source; visual model = pretrained CNN (e.g., ResNet) fine-tuned on frames; audio model = pretrained audio embedder fine-tuned. Fusion model = late fusion with inverse-variance weighting. Performance targets: ROC-AUC ≥0.80, precision/recall balanced per class ≥0.70, calibration error ≤0.05. Causal estimation: primary estimator = Synthetic Control Method with pre-specified donor pool covariates: GDP per capita, baseline R&amp;D spending, historical patenting rate, media consumption index, internet penetration, and pre-intervention trend in outcome. Pre-specified windows: monthly aggregation; event windows = ±12 months around film release. Outcomes: average treatment effect on the treated (ATT) with 95% CI for funding totals, patent counts, and regulatory proposal counts. Statistical checks: pre-trend test (t-statistic for difference in pre-period means), placebo permutation p-values (1000 permutations), Rosenbaum bounds for hidden bias. Time-series tests: VAR/Granger causality with lags p up to 12 selected by AIC/BIC; stationarity tests (ADF, KPSS) and use of differences or VECM if needed. RCT pilot: three-arm randomized exposure (Pygmalion clip, Golem clip, neutral) with N=300 pilot (100 per arm) and full design N=600 (200 per arm) for d=0.3 power; primary metrics = trust score, risk perception, policy preference; report Cohen’s d, 95% CI, and mediation analysis (trust→policy preference). Ablation studies: compare multimodal fusion vs text-only; synthetic control vs ITS estimators; classifier trained on scripts vs trained on news to test cross-domain calibration. IRR and classifier drift: report Cohen’s kappa and confusion matrices over time.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Exposure measurement error: box-office and streaming data may be incomplete or inconsistent across regions, causing biased exposure estimates. 2) Spillovers and contamination: narratives may cross jurisdictions (global releases, online distribution) breaking synthetic control assumptions. 3) Instrument validity threats: proposed instruments (festival cancellations, staggered releases) may violate exclusion restrictions if they correlate with unrelated shocks. 4) Annotation bias and drift: coder subjectivity and drift over time can reduce index reliability. 5) Multimodal missingness: not all items have all modalities (some trailers unavailable), reducing fusion effectiveness. 6) Licensing and legal constraints: rights to scripts, trailers, and streaming metrics may limit reproducibility and public release of raw materials. 7) Power limits: small true effects may be undetectable with pilot-size series or limited donor pools. 8) Confounding and heterogeneity: unobserved confounders and heterogeneous media markets can invalidate causal claims in some jurisdictions. 9) Compute and scalability: multimodal models and synthetic-control permutations require substantial compute and storage. 10) Generalization limits: results from 2000–2020 film cohort and two news outlets may not generalize to other cultures, languages, or future media ecosystems.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