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peircean_interpretant_ledger</w:t>
      </w:r>
    </w:p>
    <w:p>
      <w:r>
        <w:t xml:space="preserve"> </w:t>
      </w:r>
    </w:p>
    <w:p>
      <w:pPr>
        <w:pStyle w:val="Heading2"/>
      </w:pPr>
      <w:r>
        <w:t>Title</w:t>
      </w:r>
    </w:p>
    <w:p>
      <w:r>
        <w:t>Operationalizing Peircean Semiosis for AI Alignment: interpretant-led conditioning to resolve the hall-of-mirrors problem in large language models</w:t>
      </w:r>
    </w:p>
    <w:p>
      <w:r>
        <w:t xml:space="preserve"> </w:t>
      </w:r>
    </w:p>
    <w:p>
      <w:pPr>
        <w:pStyle w:val="Heading2"/>
      </w:pPr>
      <w:r>
        <w:t>Short Hypothesis</w:t>
      </w:r>
    </w:p>
    <w:p>
      <w:r>
        <w:t>Conditioning a language model's inference on a persistent interpretant ledger that encodes indexical anchors and provenance causally increases indexical reliability and interpretant consistency relative to extended-context and retrieval-only baselines.</w:t>
      </w:r>
    </w:p>
    <w:p>
      <w:r>
        <w:t xml:space="preserve"> </w:t>
      </w:r>
    </w:p>
    <w:p>
      <w:pPr>
        <w:pStyle w:val="Heading2"/>
      </w:pPr>
      <w:r>
        <w:t>Related Work</w:t>
      </w:r>
    </w:p>
    <w:p>
      <w:r>
        <w:t>Relevant prior work includes retrieval-augmented generation and memory-augmented LLMs that add external context at inference; human-in-the-loop alignment systems that use corrections or labels to steer models; and research on grounding via sensors or multimodal inputs. These approaches improve factuality or short-term coherence but typically rely on surface co-occurrence statistics or transient context and lack persistent, indexical anchors tied to provenance and social norms. Prior “memory” systems do not formalize triadic sign relations (representamen, object, interpretant) and so cannot distinguish mimicry of surface patterns from socially mediated referential stability. Existing provenance and trust proposals focus on signatures and metadata but rarely integrate them into the model’s latent conditioning or training losses. Adversarial robustness work shows vulnerability to data poisoning and Sybil attacks, but aggregated-rater defenses are often heuristic and not provably Byzantine-resilient.</w:t>
      </w:r>
    </w:p>
    <w:p>
      <w:r>
        <w:t xml:space="preserve"> </w:t>
      </w:r>
    </w:p>
    <w:p>
      <w:pPr>
        <w:pStyle w:val="Heading2"/>
      </w:pPr>
      <w:r>
        <w:t>Abstract</w:t>
      </w:r>
    </w:p>
    <w:p>
      <w:r>
        <w:t>Large language models (LLMs) can reproduce surface patterns from training data without reliably mapping linguistic signs to stable, context-sensitive referents, a shortcoming we call the "hall-of-mirrors." We propose an operational approach grounded in Peircean semiotics: maintain a persistent interpretant ledger that records sign forms, candidate objects, indexical anchors (speaker, time, place, role), normative constraints, provenance, and rationale; compute a compact interpretant latent I_t from ledger entries; and condition generation and learning on I_t using lightweight adapters and an explicit consistency loss. The main contribution is a reproducible pipeline that integrates indexical anchoring, provenance-aware conditioning, triadic training losses, and social mediation (multi-rater updates) to test whether interpretant-based conditioning produces genuine indexical grounding rather than surface mimicry. Expected outcomes are measurable improvements in indexical reliability and interpretant consistency, plus empirical tests that distinguish surface-driven mappings from socially mediated referential behavior.</w:t>
      </w:r>
    </w:p>
    <w:p>
      <w:r>
        <w:t xml:space="preserve"> </w:t>
      </w:r>
    </w:p>
    <w:p>
      <w:pPr>
        <w:pStyle w:val="Heading2"/>
      </w:pPr>
      <w:r>
        <w:t>Methodology</w:t>
      </w:r>
    </w:p>
    <w:p>
      <w:r>
        <w:t>1) Ledger schema: record entries with fields: sign_form (string), object_id (canonical id), indexical_anchors (speaker_id, role, spatiotemporal_tag), normative_constraints (labels), confidence_score (0-1), provenance_ptr (signed metadata), rationale_snippet (short text), timestamp, version_id. 2) Represent interpretant: encode anchors, norms, provenance into vectors a_t, c_t, p_t and compute I_t = f_theta(concat(a_t,c_t,p_t)). f_theta is a small feed-forward or adapter network. Explanation: an interpretant is a learned vector summarizing what the sign currently refers to in context. 3) Fusion/update: use a gated-attention update per turn: compute evidence e_t = Enc(sign_evidence), gate z_t = sigmoid(W_z[I_t; e_t]), update I_{t+1} = (1 - z_t) * I_t + z_t * tanh(W_u[I_t; e_t]). This prevents abrupt drift. 4) Losses: combine cross-entropy L_ce for target outputs with a consistency loss L_consist that penalizes distance between model output embeddings and ledger-derived interpretant targets. L_consist = λ1*(1 - cosine(Enc(O_t), I_t_target)) + λ2*DriftPenalty(anchors) + λ3*||I_{t+1}-I_t||^2. 5) Training loop: triadic episodes present (representamen, object, interpretant) sequences. Warm-up schedule: initially apply L_consist gradients only to adapter/fusion modules (stop-gradient to base LM), then gradually route gradients to base LM to consolidate interpretants. 6) Provenance &amp; social mediation: ledger updates require signed provenance metadata; critical updates require multi-rater confirmation. Provenance fields are content-addressed and cryptographically signed. 7) Annotation &amp; adjudication: use rubric tasks for Correct Referent, Anchor Sufficiency, Rationale Fidelity; three annotators per item, senior adjudicator for disagreements. 8) Evaluation primitives: compute Indexical Reliability (IR), Interpretant Consistency (IC), Rationale Fidelity (RF), Updateability (UR) from ledger and model outputs. 9) Adversarial tests: inject poisoned corrections and evaluate robustness of aggregation rules and provenance_confidence scoring.</w:t>
      </w:r>
    </w:p>
    <w:p>
      <w:r>
        <w:t xml:space="preserve"> </w:t>
      </w:r>
    </w:p>
    <w:p>
      <w:pPr>
        <w:pStyle w:val="Heading2"/>
      </w:pPr>
      <w:r>
        <w:t>Experiments</w:t>
      </w:r>
    </w:p>
    <w:p>
      <w:r>
        <w:t>Datasets: 1) Synthetic role-play corpus: 1,000 episodes of multi-turn role-play with dynamic referents and delayed reference shifts. 2) Deixis benchmark: curated sentences stressing pronouns, demonstratives, temporal indexicals, long-distance anaphora. 3) Cross-context transfer set: same referents in novel surface forms and a simple multimodal proxy (image-caption pairs where the caption refers to an object in the image). Baselines: (A) Base LLM (no extra context), (B) Extended-context LLM (longer window), (C) Retrieval-augmented LLM (no ledger persistence), (D) Ledger-only conditioning without social mediation, (E) Full-stack: ledger + social mediation + normative manager. Metrics: Indexical Reliability (IR) = fraction where model top-1 referent == ground truth given anchors; Interpretant Consistency (IC) = fraction recurring-signs where model output matches ledger interpretant across M=5 subsequent occurrences; Rationale Fidelity (RF) = mean human rubric score normalized to [0,1]; Updateability (UR) = probability a human-correction persists within H=5 turns and next session. Statistical tests: pre-registered mixed-effects logistic regression for IR (fixed effect: condition; random intercepts: session, annotator), bootstrap (1000 resamples) clustered CIs for IC and RF. Sample sizes: 200-250 episodes per condition (four conditions) for medium effect detection (Cohen's d≈0.5) with power≈0.8. Ablation studies: (i) remove surface n-gram cues by paraphrasing/synonym replacement while preserving anchors to test dependence on anchors vs surface statistics; (ii) scramble provenance pointers (randomize provenance IDs) to test provenance dependence; (iii) swap anchors across episodes (counterfactual anchor swaps) to test causal anchor dependence; (iv) poisoning injections at rates {1%,5%,10%,20%} with both naive and adaptive attackers to measure robustness. Reporting: per-condition IR/IC/RF/UR with 95% CI, effect sizes (Cohen's d), and pre-registered pass/fail: full-stack must increase IR by ≥0.20 absolute over base LLM and achieve IC ≥0.90 to be considered evidence of indexical grounding.</w:t>
      </w:r>
    </w:p>
    <w:p>
      <w:r>
        <w:t xml:space="preserve"> </w:t>
      </w:r>
    </w:p>
    <w:p>
      <w:pPr>
        <w:pStyle w:val="Heading2"/>
      </w:pPr>
      <w:r>
        <w:t>Risk Factors And Limitations</w:t>
      </w:r>
    </w:p>
    <w:p>
      <w:r>
        <w:t>1) False stability: model may overfit to ledger entries and ignore new evidence, producing persistent but incorrect interpretants. 2) Feedback loops: repeated human corrections could amplify biased anchors, producing systemic bias. 3) Adversarial poisoning and Sybil attacks: signatures and consensus help but do not guarantee Byzantine-resilience against adaptive attackers. 4) Annotation bias: human raters may disagree or carry cultural/ideological biases; low inter-annotator agreement reduces validity. 5) Scalability and latency: frequent ledger retrievals and signature verification add compute and latency overhead; adapters increase parameter count. 6) Privacy leakage: persistent interpretants risk storing sensitive information tied to individuals. 7) Limited generalization: success on role-play or text-only datasets may not transfer to full embodied grounding or cross-lingual contexts. 8) Statistical uncertainty: sample sizes may be insufficient for small effects or rare referent phenomena. 9) Catastrophic forgetting: improper gradient routing could damage base LM capabilities when conditioning is routed to core weights.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