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llm_mental_health_survey</w:t>
      </w:r>
    </w:p>
    <w:p>
      <w:r>
        <w:t xml:space="preserve"> </w:t>
      </w:r>
    </w:p>
    <w:p>
      <w:pPr>
        <w:pStyle w:val="Heading2"/>
      </w:pPr>
      <w:r>
        <w:t>Title</w:t>
      </w:r>
    </w:p>
    <w:p>
      <w:r>
        <w:t>Systematic survey and reproducible evaluation framework of large language models for mental health diagnosis and treatment</w:t>
      </w:r>
    </w:p>
    <w:p>
      <w:r>
        <w:t xml:space="preserve"> </w:t>
      </w:r>
    </w:p>
    <w:p>
      <w:pPr>
        <w:pStyle w:val="Heading2"/>
      </w:pPr>
      <w:r>
        <w:t>Short Hypothesis</w:t>
      </w:r>
    </w:p>
    <w:p>
      <w:r>
        <w:t>Adding calibrated uncertainty outputs and lived-experience informed cultural adaptation to fine-tuned large language models increases diagnostic sensitivity for common mental disorders by at least 5 percentage points without decreasing specificity by more than 3 percentage points compared to fine-tuned models lacking these features.</w:t>
      </w:r>
    </w:p>
    <w:p>
      <w:r>
        <w:t xml:space="preserve"> </w:t>
      </w:r>
    </w:p>
    <w:p>
      <w:pPr>
        <w:pStyle w:val="Heading2"/>
      </w:pPr>
      <w:r>
        <w:t>Related Work</w:t>
      </w:r>
    </w:p>
    <w:p>
      <w:r>
        <w:t>Existing work applies large language models (LLMs) and smaller NLP classifiers to tasks such as symptom screening from text, risk detection, therapeutic chatbots, and automated counseling. Prior approaches demonstrate promising classification performance and usable conversational agents but share common limitations: models are often poorly calibrated (probabilities do not match true risk), exhibit hallucinations or unsafe advice, and amplify dataset biases across demographic groups. Privacy-preserving training (differential privacy, federated learning) has been explored but typically reduces utility without published clinical trade-offs. Clinical validation is sparse: most studies are retrospective, single-site, or lack clinician adjudication and real-world escalation protocols. Annotation practices and cross-cultural adaptation are inconsistent, producing weak generalization to low-resource languages and dialects. Regulatory, consent, and audit-ready artifacts (dataset cards, model cards, reproducible evaluation scripts) are rarely published, preventing replication and safety auditing.</w:t>
      </w:r>
    </w:p>
    <w:p>
      <w:r>
        <w:t xml:space="preserve"> </w:t>
      </w:r>
    </w:p>
    <w:p>
      <w:pPr>
        <w:pStyle w:val="Heading2"/>
      </w:pPr>
      <w:r>
        <w:t>Abstract</w:t>
      </w:r>
    </w:p>
    <w:p>
      <w:r>
        <w:t>We present a systematic survey and a reproducible evaluation framework for applying large language models (LLMs) to mental health diagnosis and treatment tasks. The work synthesizes current capabilities and gaps, and proposes a concrete experimental and governance package that includes curated datasets, annotation schemas, calibrated uncertainty methods, privacy-utility ablations (differential privacy and federated learning), hallucination/safety tests, and staged clinical validation (retrospective → simulated clinic → pilot → pragmatic trial). Main contributions are: (1) a reproducible benchmark suite with narrative vignettes and multilingual examples; (2) operational calibration and escalation rules based on conformal prediction and explicit confidence thresholds; and (3) an empirical privacy-utility protocol sweeping candidate privacy budgets and federated learning parameters. Expected outcomes are defensible, auditable evaluation artifacts and empirical trade-off curves that inform safe, equitable, and regulator-ready deployment decisions for LLMs in mental health care.</w:t>
      </w:r>
    </w:p>
    <w:p>
      <w:r>
        <w:t xml:space="preserve"> </w:t>
      </w:r>
    </w:p>
    <w:p>
      <w:pPr>
        <w:pStyle w:val="Heading2"/>
      </w:pPr>
      <w:r>
        <w:t>Methodology</w:t>
      </w:r>
    </w:p>
    <w:p>
      <w:r>
        <w:t>1) Dataset curation: gather de-identified multi-site sources: (a) clinical notes and intake forms, (b) therapy transcripts, (c) patient-reported measures (PHQ-9, GAD-7), and (d) crowd-sourced and simulated vignettes including crisis scenarios. Produce dataset cards recording provenance, consent status, languages, and de-identification methods. 2) Annotation: build a multi-layer schema aligned to DSM/ICD proxies. Each item gets a label (symptom present, severity, imminent risk tier A/B) plus uncertainty score. Use clinician and trained annotators; compute Krippendorff’s alpha for reliability. 3) Model development: fine-tune an LLM on annotated data for classification and response generation tasks. Fine-tuning uses supervised learning; explainable rationale snippets are stored alongside outputs. 4) Calibration and uncertainty: apply split conformal prediction to produce valid prediction sets or calibrated probability intervals. Conformal prediction is a technique that uses held-out calibration data to produce trustworthy probability ranges. 5) Privacy experiments: implement DP-SGD for centrally trained models to test epsilons {1,3,5,8} and implement federated learning with secure aggregation and FedProx options for non-IID clients. DP-SGD adds controlled noise to gradients to bound privacy loss (epsilon). 6) Hallucination and safety controls: build a 200+ case hallucination test set; implement factuality detectors and provenance retrieval so model answers cite source snippets or refuse when unsupported. 7) Cultural adaptation: perform forward/back translation, idiom mapping, and cognitive interviews across 3–5 language groups; include lived-experience reviewers in prompt and label design. 8) Evaluation pipeline: compute clinical metrics (sensitivity, specificity, PPV, NPV), calibration metrics (ECE, Brier), decision-curve/net-benefit, and human-factors measures (clinician override rate, time-to-escalation). 9) Reproducibility: publish dataset cards, prompt suites, seed-tracked evaluation scripts, model cards, and a benchmark repository with synthetic minimal examples.</w:t>
      </w:r>
    </w:p>
    <w:p>
      <w:r>
        <w:t xml:space="preserve"> </w:t>
      </w:r>
    </w:p>
    <w:p>
      <w:pPr>
        <w:pStyle w:val="Heading2"/>
      </w:pPr>
      <w:r>
        <w:t>Experiments</w:t>
      </w:r>
    </w:p>
    <w:p>
      <w:r>
        <w:t>1) Datasets: assemble (A) retrospective multi-site corpus N≈800 (combined de-identified notes and transcripts) with prevalence-specified sampling; (B) simulated benchmark: 500 crisis dialogues + 1000 therapy vignettes; (C) pilot prospective dataset N≈300 for workflow and safety signals; hold out an external site for test. 2) Baselines: (i) clinician-assessment labels (adjudicated gold standard), (ii) PHQ-9/GAD-7 score thresholds, (iii) off-the-shelf LLM zero-shot classification, (iv) fine-tuned LLM without calibration or cultural adaptation. 3) Primary model: fine-tuned LLM with conformal calibration and lived-experience informed prompt tuning. 4) Metrics: sensitivity, specificity, AUC, PPV, NPV at operating thresholds; calibration metrics: ECE and Brier score; decision-curve net benefit; hallucination rate (percent answers with unsupported facts); clinician override rate; time-to-escalation accuracy; subgroup metrics by language/dialect and demographic groups. 5) Statistical setup: stratified 5-fold cross-validation on retrospective corpus, plus holdout external site. Report 95% confidence intervals via bootstrapping. Test differences in sensitivity with two-sided z-tests; significance at p&lt;0.05. 6) Ablations and comparisons: (A) Remove conformal calibration to measure delta in ECE and sensitivity/specificity; (B) Remove cultural prompt adaptation to measure subgroup performance loss; (C) Differential privacy sweep: train with DP-SGD at epsilons {1,3,5,8} and plot AUC, PPV, sensitivity vs epsilon; (D) Federated learning sweep: client sampling {10%,20%}, rounds {50,100,200}, compare to central training by AUC and calibration. 7) Hallucination test: run models on 200-case hallucination set; measure refusal rate, unsupported-fact rate, and severity-weighted harm score. 8) Safety/evaluation cadence: in pilot prospective N≈300, run weekly automated monitoring for adverse events for 8 weeks then monthly; report missed-crisis rate and false escalation rate. 9) Power and sample notes: retrospective N≈800 chosen to estimate sensitivity with ±5% margin for disorders with prevalence ~20%; pragmatic pilot N≈300 sufficient to detect safety signal rates ≈5% with reasonable precision.</w:t>
      </w:r>
    </w:p>
    <w:p>
      <w:r>
        <w:t xml:space="preserve"> </w:t>
      </w:r>
    </w:p>
    <w:p>
      <w:pPr>
        <w:pStyle w:val="Heading2"/>
      </w:pPr>
      <w:r>
        <w:t>Risk Factors And Limitations</w:t>
      </w:r>
    </w:p>
    <w:p>
      <w:r>
        <w:t>Technical failure modes: model hallucinations producing harmful advice; miscalibration that gives misleading confidence; privacy attacks despite DP/FL (composition errors). Data and evaluation biases: annotated datasets may underrepresent languages, cultures, ages, and severe cases, causing poor generalization; annotation errors and low inter-annotator reliability. Scalability and compute: DP-SGD and federated learning increase compute and memory needs and may slow training; secure aggregation and enclave requirements add operational cost. Limits to generalization: models trained on collected sites may not transfer to other health systems, cultures, or low-resource languages. Clinical and legal limits: retrospective and pilot results do not prove safety in full deployment; regulatory acceptance varies by jurisdiction. Measurement limits: proxy labels (PHQ-9, interview excerpts) are imperfect surrogates of clinical outcome and may not capture long-term harms. Resource constraints: multi-site annotation, lived-experience engagement, and red-teaming require sustained funding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