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german_minority_archive_affective_social_impact</w:t>
      </w:r>
    </w:p>
    <w:p>
      <w:r>
        <w:t xml:space="preserve"> </w:t>
      </w:r>
    </w:p>
    <w:p>
      <w:pPr>
        <w:pStyle w:val="Heading2"/>
      </w:pPr>
      <w:r>
        <w:t>Title</w:t>
      </w:r>
    </w:p>
    <w:p>
      <w:r>
        <w:t>Mixed-methods ethnographic and sociolinguistic study of the affective, social, and personal impacts of an independent German minority community archive in Silesia</w:t>
      </w:r>
    </w:p>
    <w:p>
      <w:r>
        <w:t xml:space="preserve"> </w:t>
      </w:r>
    </w:p>
    <w:p>
      <w:pPr>
        <w:pStyle w:val="Heading2"/>
      </w:pPr>
      <w:r>
        <w:t>Short Hypothesis</w:t>
      </w:r>
    </w:p>
    <w:p>
      <w:r>
        <w:t>Active participation in the German Minority Research Center archive causes measurable increases in German language use frequency and self-reported sense of belonging within six months compared to matched non-participating community members.</w:t>
      </w:r>
    </w:p>
    <w:p>
      <w:r>
        <w:t xml:space="preserve"> </w:t>
      </w:r>
    </w:p>
    <w:p>
      <w:pPr>
        <w:pStyle w:val="Heading2"/>
      </w:pPr>
      <w:r>
        <w:t>Related Work</w:t>
      </w:r>
    </w:p>
    <w:p>
      <w:r>
        <w:t>Work on community and independent archives documents cultural preservation, community engagement, and emotional impacts but often uses small samples or single methods. Oral-history practice provides methods for life-history interviews and trauma-informed protocols but rarely links affective episodes to measurable language or social outcomes. Sociolinguistic studies quantify code-switching and repertoires but typically outside archive contexts and without bilingual, time-aligned affect annotation. Digital archiving literature prescribes metadata and preservation standards but often omits community governance and GDPR operational detail. Existing approaches therefore lack an integrated pipeline that combines bilingual, prosody-aware annotation, reproducible metadata, community governance, and mixed-methods causal analysis of affect → social/language outcomes. Limitations include weak linkage between qualitative affect and quantitative outcomes, sparse QA procedures for translations, and minimal child/minor protection detail in comparable field studies.</w:t>
      </w:r>
    </w:p>
    <w:p>
      <w:r>
        <w:t xml:space="preserve"> </w:t>
      </w:r>
    </w:p>
    <w:p>
      <w:pPr>
        <w:pStyle w:val="Heading2"/>
      </w:pPr>
      <w:r>
        <w:t>Abstract</w:t>
      </w:r>
    </w:p>
    <w:p>
      <w:r>
        <w:t>This study measures how participation in an independent German minority community archive affects contributors' emotions, social ties, and everyday German language use. We combine ethnographic interviews, bilingual time-aligned transcription, prosodic annotation, brief pre/post surveys, and activity metrics to test whether archive engagement leads to increased German use and stronger belonging. Fieldwork will sample 50–60 participants across generations and roles, with a 5–8 interview pilot to validate trauma-informed bilingual procedures, back-translation, and technical pipelines. Data will be annotated on affective and social/personal tiers and linked to attendance and language-use diaries. Main contributions are: (1) an operational mixed-methods pipeline that ties affective episodes to measurable outcomes, (2) reproducible bilingual annotation and QA protocols (including prosody measures), and (3) empirical estimates of archive participation effects on language use and belonging. Expected outcomes are testable effect sizes for language and belonging change, validated annotation resources, and practical governance templates for community co-ownership and GDPR-aligned data stewardship.</w:t>
      </w:r>
    </w:p>
    <w:p>
      <w:r>
        <w:t xml:space="preserve"> </w:t>
      </w:r>
    </w:p>
    <w:p>
      <w:pPr>
        <w:pStyle w:val="Heading2"/>
      </w:pPr>
      <w:r>
        <w:t>Methodology</w:t>
      </w:r>
    </w:p>
    <w:p>
      <w:r>
        <w:t>1) Sampling and recruitment: purposive sample of 50–60 participants balanced by generation and role (elders, mid-generation, youth, founders/volunteers, informal visitors). Use CAB referrals and snowballing. 2) Pilot: 5–8 bilingual interviews to test consent tiers, trauma protocols, recording, transcription, and back-translation. 3) Consent and governance: tiered consent (research-only, restricted researcher access, public excerpts, embargo options, co-authorship) recorded and managed by a CAB charter. 4) Data capture: record audio as WAV 24-bit/48 kHz and minimally compressed video; store masters in OAIS-aligned repository with checksums. (OAIS is a standard model for preserving digital archives.) 5) Transcription and translation: time-coded verbatim transcripts in original language, bilingual translations, and back-translation for affect-heavy passages; translator memos for ambiguous segments. 6) Annotation: build two main coding tiers—Affective (pride, nostalgia, distress, attachment) and Social/Personal (belonging, reciprocity, identity negotiation). Also annotate code-switching and nonverbal cues. Use ELAN or EXMARaLDA for aligned tiers. 7) Prosody: extract pitch, intensity, and tempo in Praat for turns marked affective; prosody helps detect emotion in voice. (Praat is software for speech analysis.) 8) Reliability: create 8–10 gold excerpts, double-code 20–30% of corpus, compute Krippendorff’s alpha. 9) Quantitative measures: collect short pre/post surveys (belonging scale, language-use frequency) and two-week language-use diaries. 10) Analysis: cross-case matrices, process-tracing of engagement trajectories, mixed-effect regression for pre/post changes controlling for age/generation, triangulate qualitative affect episodes with diary and attendance metrics. 11) Documentation: record translator qualifications, arbitration logs, and reflexivity statements by researchers.</w:t>
      </w:r>
    </w:p>
    <w:p>
      <w:r>
        <w:t xml:space="preserve"> </w:t>
      </w:r>
    </w:p>
    <w:p>
      <w:pPr>
        <w:pStyle w:val="Heading2"/>
      </w:pPr>
      <w:r>
        <w:t>Experiments</w:t>
      </w:r>
    </w:p>
    <w:p>
      <w:r>
        <w:t>Datasets: (A) Pilot: 6 bilingual interviews (one per subgroup). (B) Main: 50–60 interviews with time-aligned transcripts, video for nonverbal cues, two-week language diaries from participants, attendance logs for archive events, and short surveys at baseline and 6 months. Baselines: matched non-participant control group (n≈30–40) from same community strata who do not engage with archive activities. Evaluation metrics: 1) Language use frequency: mean daily German-use episodes from diary (count); 2) Belonging: validated 5-item belonging scale score (numeric); 3) Affective coding rate: proportion of turns coded as pride/nostalgia/distress; 4) Code-switch rate: proportion of turns with language change; 5) Intercoder reliability: Krippendorff’s alpha; 6) Prosodic delta: mean pitch range change in affective turns. Experimental setup: collect baseline surveys and diaries from all participants, run interviews and annotations, then measure outcomes at 6 months. Statistical tests: paired t-test or Wilcoxon signed-rank for within-subject pre/post; mixed-effects linear models with random intercepts for participant to estimate effect of participation controlling for generation and baseline scores; logistic regression for binary outcomes (e.g., public release consent). Comparison study: (A) Full pipeline (affective + prosody + diaries) vs (B) Reduced pipeline (affective coding without prosody and no diaries) to ablate the contribution of prosody and diaries to predictive models linking affect to language change. QA ablation: models using translations with back-translation QA vs single-pass translation to measure impact on coded affect reliability (compare Krippendorff’s alpha). Report effect sizes with 95% CI and p-values; correct for multiple tests using Benjamini-Hochberg false discovery rate.</w:t>
      </w:r>
    </w:p>
    <w:p>
      <w:r>
        <w:t xml:space="preserve"> </w:t>
      </w:r>
    </w:p>
    <w:p>
      <w:pPr>
        <w:pStyle w:val="Heading2"/>
      </w:pPr>
      <w:r>
        <w:t>Risk Factors And Limitations</w:t>
      </w:r>
    </w:p>
    <w:p>
      <w:r>
        <w:t>1) Legal and ethical: GDPR and special-category data impose strict rules; minors require parental consent and safeguarding; failure to implement may halt research. 2) Sampling bias: purposive and snowball methods risk over-representing engaged or vocal community members; controls may be imperfect matches. 3) Attrition: six-month follow-up risks drop-out, reducing power. 4) Translation bias: translation and back-translation may still miss cultural nuance; translator subjectivity can affect affect coding. 5) Measurement noise: prosodic measures are sensitive to recording quality and background noise, reducing reliability. 6) Small sample limits generalizability beyond Silesia and the studied archive. 7) Social desirability: participants may report increased belonging or language use due to participation demand characteristics. 8) Resource limits: high costs for transcription, translation, storage, and QA may constrain sample size or depth. 9) Re-traumatization risk: discussing migration or loss may cause distress; field staff must be trained but distress can still occur. 10) Community trust: perceived misuse or insufficient co-ownership may damage relationships and affect data quality.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