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impact_vc_ambiguity_tactics</w:t>
      </w:r>
    </w:p>
    <w:p>
      <w:r>
        <w:t xml:space="preserve"> </w:t>
      </w:r>
    </w:p>
    <w:p>
      <w:pPr>
        <w:pStyle w:val="Heading2"/>
      </w:pPr>
      <w:r>
        <w:t>Title</w:t>
      </w:r>
    </w:p>
    <w:p>
      <w:r>
        <w:t>Mixed-methods study using ethnography and computational text analysis to measure how textual ambiguity predicts tactical maneuvers by impact venture capitalists</w:t>
      </w:r>
    </w:p>
    <w:p>
      <w:r>
        <w:t xml:space="preserve"> </w:t>
      </w:r>
    </w:p>
    <w:p>
      <w:pPr>
        <w:pStyle w:val="Heading2"/>
      </w:pPr>
      <w:r>
        <w:t>Short Hypothesis</w:t>
      </w:r>
    </w:p>
    <w:p>
      <w:r>
        <w:t>Higher textual ambiguity in VC communications—measured as greater lexical entropy and larger ex-ante-to-ex-post embedding-distance—causes a higher incidence of documented tactical maneuvers by impact VCs to access new markets, founders, or limited partner capital within the following 12 months.</w:t>
      </w:r>
    </w:p>
    <w:p>
      <w:r>
        <w:t xml:space="preserve"> </w:t>
      </w:r>
    </w:p>
    <w:p>
      <w:pPr>
        <w:pStyle w:val="Heading2"/>
      </w:pPr>
      <w:r>
        <w:t>Related Work</w:t>
      </w:r>
    </w:p>
    <w:p>
      <w:r>
        <w:t>Prior work divides into three streams. First, qualitative studies document VC behavior, founder relations, and governance but rarely operationalize how contested meanings of impact are mobilized in text. Second, impact-investing practice literature provides standardized measurement frameworks and governance templates, yet these frameworks often miss everyday improvisations and lack tools to detect tactical reframing. Third, computational text methods use keyword counts, TF-IDF, lexical entropy, and sentence embeddings to measure ambiguity or semantic shift in corporate and political texts. Limitations across these approaches include: qualitative work lacks scalable validation against textual signals; governance frameworks are descriptive and not linked to measured tactical moves; simple text methods (keywords, TF-IDF) miss semantic change and are sensitive to redaction; embedding and entropy measures are rarely validated against human judgments of ambiguity or against observed behaviors; and mixed-methods triangulation with pre-registered thresholds and redaction-bias evaluation is generally absent.</w:t>
      </w:r>
    </w:p>
    <w:p>
      <w:r>
        <w:t xml:space="preserve"> </w:t>
      </w:r>
    </w:p>
    <w:p>
      <w:pPr>
        <w:pStyle w:val="Heading2"/>
      </w:pPr>
      <w:r>
        <w:t>Abstract</w:t>
      </w:r>
    </w:p>
    <w:p>
      <w:r>
        <w:t>Impact investing hinges on contested definitions of "impact." This project studies how impact venture capitalists (VCs) use tactical maneuvers to access new markets, founders, and capital by measuring textual ambiguity in fund communications and linking it to observed practices. We combine three comparative ethnographic cases with a pilot computational pipeline that computes lexical entropy (a measure of word-choice diversity) and embedding-distance (semantic shift between ex-ante and ex-post texts) on investment memos, pitch decks, and LP reports. A human-coded benchmark of ambiguity and tactical events will validate metrics using ROC, AUC, and calibration plots. Triangulation rules will classify convergence, complementarity, or dissonance between qualitative and quantitative strands. We also preregister thresholds, run a mock-redaction experiment to quantify redaction bias, and predefine mission-drift and side-letter indices. The main contribution is a validated, theory-aligned mapping from de Certeau's tactic/strategy distinctions to codable textual markers and quantitative ambiguity signals. Expected outcomes include a typology of tactical maneuvers, validated ambiguity metrics, and reproducible pipelines to study how textual ambiguity mediates fund behavior and governance.</w:t>
      </w:r>
    </w:p>
    <w:p>
      <w:r>
        <w:t xml:space="preserve"> </w:t>
      </w:r>
    </w:p>
    <w:p>
      <w:pPr>
        <w:pStyle w:val="Heading2"/>
      </w:pPr>
      <w:r>
        <w:t>Methodology</w:t>
      </w:r>
    </w:p>
    <w:p>
      <w:r>
        <w:t>1) Case selection and documents: choose three pilot funds that vary by geography (Global North, Global South focus, regional mid-cap), LP mix, sector, and fund size. For each fund collect ex-ante texts (investment memos, pitch decks, deal memos), ex-post texts (LP reports, portfolio updates), and meeting notes where permitted. Also assemble auxiliary datasets (Crunchbase/PitchBook for deals and outcomes). 2) Preprocessing: remove PII per redaction templates, lowercase, sentence-split, standard tokenization, remove rare tokens (appear in &lt;2 docs). 3) Ambiguity metrics: compute lexical entropy per document (Shannon entropy measures diversity of word choices; higher means more varied language) and sliding-window entropy (measure changes within long documents). Compute embeddings with a sentence-transformer (baseline: all-MiniLM-L6-v2) and aggregate sentence embeddings to form document vectors. Measure embedding-distance as cosine distance between ex-ante and ex-post documents (cosine distance is 1 - cosine similarity; larger values mean bigger semantic shift). 4) Human benchmark: build a benchmark of ~100 labeled text samples rated by N&gt;=8 expert coders for perceived ambiguity and for observed tactical moves (coded events). Train coder calibration to reach Cohen's kappa &gt;= 0.70. 5) Validation: validate entropy and embedding-distance against human labels using ROC curves, AUC, calibration plots, and Pearson/Spearman correlations. 6) Triangulation: preregister decision rules that map agreements (convergent/complementary/dissonant) and a decision tree for escalation. 7) Mission-drift and governance indices: operationalize binary flags and a weighted index combining pivot evidence, metric divergence, and governance relaxation. 8) Redaction experiment: simulate N&gt;=100 redactions across document strata to measure how redaction changes metrics and to quantify measurement error. 9) Analysis models: use logistic and multilevel regression to link metrics to coded tactical events, survival models for exits, and robustness checks across embedding families and dimensionalities. 10) Reproducibility: preregister analyses and publish code, a synthetic corpus, and seeded notebooks.</w:t>
      </w:r>
    </w:p>
    <w:p>
      <w:r>
        <w:t xml:space="preserve"> </w:t>
      </w:r>
    </w:p>
    <w:p>
      <w:pPr>
        <w:pStyle w:val="Heading2"/>
      </w:pPr>
      <w:r>
        <w:t>Experiments</w:t>
      </w:r>
    </w:p>
    <w:p>
      <w:r>
        <w:t>Datasets: (A) Pilot corpus of documents from 3 funds: ex-ante memos (N≈150 documents), ex-post LP reports (N≈150), pitch decks (N≈90), and meeting notes where available; (B) auxiliary deal and founder data from Crunchbase/PitchBook for sampled deals; (C) human-coded benchmark: at least 100 text samples labeled by &gt;=8 coders; (D) mock-redaction experiment: N&gt;=100 stratified simulated redactions. Baselines: (1) keyword count of impact terms; (2) TF-IDF cosine distance between ex-ante and ex-post; (3) presence of standardized-framework tags (IRIS+-style). Primary features: lexical entropy, sliding-window entropy, ex-ante→ex-post embedding-distance (cosine), governance flags (side-letter, mission clause). Models and evaluation: - Classification task: predict coded tactical events (binary) with logistic regression and random forest. Report AUC, precision@k, recall, F1. Compare performance of full model vs baselines. - Correlation: report Pearson and Spearman correlations and p-values between continuous ambiguity metrics and counts of tactical events. - Validation: ROC curves and AUC for each metric against human ambiguity labels; calibration plots to show score reliability. - Intercoder reliability: compute Cohen's kappa for the codebook; report kappa by domain. - Ablation studies: (a) full model; (b) remove entropy features; (c) remove embedding-distance; (d) remove governance flags. Report delta-AUC and delta-F1. - Redaction experiment: compute metrics before and after simulated redaction; report mean bias, RMSE, and conduct a measurement-error regression to quantify attenuation. - Time-to-event: survival analysis for exit timing where applicable; include ambiguity metrics as time-varying covariates. - Quasi-experiment probes: where LP-mandate shocks or anchor-LP entry/exit occur in the sample, estimate DiD/event-study with pre-specified windows and placebo tests; report effect estimates with clustered standard errors. Experimental setup details: embeddings baseline all-MiniLM-L6-v2, dimensionality checks at 128/384, entropy normalized by log(vocabulary), codebook training with dual-coding on 20% of samples, Monte Carlo power simulations (10,000 draws) to show power to detect correlation r&gt;=0.60 given N=100 and for expanded N up to 200.</w:t>
      </w:r>
    </w:p>
    <w:p>
      <w:r>
        <w:t xml:space="preserve"> </w:t>
      </w:r>
    </w:p>
    <w:p>
      <w:pPr>
        <w:pStyle w:val="Heading2"/>
      </w:pPr>
      <w:r>
        <w:t>Risk Factors And Limitations</w:t>
      </w:r>
    </w:p>
    <w:p>
      <w:r>
        <w:t>1) Access and selection bias: funds may deny full access, producing non-random samples that limit generalizability. 2) Small sample size: three ethnographic cases and limited document counts constrain statistical power and causal claims. 3) Redaction bias: redaction required for confidentiality can change entropy and embedding metrics and introduce measurement error. 4) Annotation noise: human coding may vary, reducing reliability and inflating uncertainty. 5) Model sensitivity: embedding-distance depends on model choice and preprocessing; results may vary across embedding families. 6) Causal identification limits: observational data and few natural shocks limit strong causal inference; DiD or IV strategies may lack credible instruments. 7) Legal and ethical constraints: NDAs and legal limits may restrict data sharing and replication. 8) Computation and scalability: embedding large corpora and running robustness checks require compute resources that may be constrained. 9) Generalization limits: findings from selected sectors or regions may not hold across all impact-investing contexts. 10) Network and outcome data quality: commercial datasets (Crunchbase/PitchBook) have missing or biased entries that can affect outcome measures.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