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consumption_populism_model</w:t>
      </w:r>
    </w:p>
    <w:p>
      <w:r>
        <w:t xml:space="preserve"> </w:t>
      </w:r>
    </w:p>
    <w:p>
      <w:pPr>
        <w:pStyle w:val="Heading2"/>
      </w:pPr>
      <w:r>
        <w:t>Title</w:t>
      </w:r>
    </w:p>
    <w:p>
      <w:r>
        <w:t>Multimodal causal analysis of consumption populism: testing how business leaders' populist rhetoric shapes consumer behavior</w:t>
      </w:r>
    </w:p>
    <w:p>
      <w:r>
        <w:t xml:space="preserve"> </w:t>
      </w:r>
    </w:p>
    <w:p>
      <w:pPr>
        <w:pStyle w:val="Heading2"/>
      </w:pPr>
      <w:r>
        <w:t>Short Hypothesis</w:t>
      </w:r>
    </w:p>
    <w:p>
      <w:r>
        <w:t>Exposure to business leaders' consumption‑populist campaigns (characterized by otherization, homogenization, and impossible demands) causes a measurable increase in targeted product consumption and market share in affected regions within 31–180 days, mediated by increases in pride or anger expressions and higher consumer engagement.</w:t>
      </w:r>
    </w:p>
    <w:p>
      <w:r>
        <w:t xml:space="preserve"> </w:t>
      </w:r>
    </w:p>
    <w:p>
      <w:pPr>
        <w:pStyle w:val="Heading2"/>
      </w:pPr>
      <w:r>
        <w:t>Related Work</w:t>
      </w:r>
    </w:p>
    <w:p>
      <w:r>
        <w:t>Existing research covers (1) populist rhetoric and political mobilization, (2) affective persuasion in political and marketing communication, (3) multimodal discourse analysis, and (4) causal impact methods (synthetic control, event studies) for policy and advertising effects. Limitations across these areas include: populism studies rarely operationalize leader-driven consumer framing as a distinct process; marketing research often treats affect as an outcome rather than a mediating mechanism linking rhetoric to purchases; multimodal approaches have limited, nonstandardized codebooks and weak multilingual validation; and prior causal work commonly lacks multimodal linkage rules and robust donor selection or spillover diagnostics. Together, these gaps leave unresolved how populist logic enacted by business leaders produces measurable consumption changes, how affect mediates those changes, and how to validate this across languages, images, and proprietary sales data.</w:t>
      </w:r>
    </w:p>
    <w:p>
      <w:r>
        <w:t xml:space="preserve"> </w:t>
      </w:r>
    </w:p>
    <w:p>
      <w:pPr>
        <w:pStyle w:val="Heading2"/>
      </w:pPr>
      <w:r>
        <w:t>Abstract</w:t>
      </w:r>
    </w:p>
    <w:p>
      <w:r>
        <w:t>We introduce an empirical framework to test "consumption populism": the claim that business leaders use populist logic to construct "the people" and shape consumption. We operationalize a three‑stage process—otherization, homogenization, hegemony—using a multimodal codebook applied to speech, advertising, event, and social media data in Hindi, regional dialects, and English. Our primary method combines validated multilingual affect classifiers and multimodal alignment (text, image, video) with causal inference tools: synthetic control as the primary estimator for regional sales and search interest, complemented by staggered difference‑in‑differences. We preregister temporal windows and mediation tests to evaluate whether affective mobilization (pride/anger) mediates the effect of populist practices on consumption. Contributions include (1) a replicable multimodal indicator set tied to Laclauian theory, (2) validated cross‑language affect models, and (3) a causal analysis linking discursive practices to market outcomes. Expected outcomes are clear, testable evidence on whether and how leader-driven populist framing changes consumer behavior.</w:t>
      </w:r>
    </w:p>
    <w:p>
      <w:r>
        <w:t xml:space="preserve"> </w:t>
      </w:r>
    </w:p>
    <w:p>
      <w:pPr>
        <w:pStyle w:val="Heading2"/>
      </w:pPr>
      <w:r>
        <w:t>Methodology</w:t>
      </w:r>
    </w:p>
    <w:p>
      <w:r>
        <w:t>1) Data collection: assemble multimodal corpus (speeches, ads, event videos, social posts) in Hindi, two key dialects, and English; secure time series of regional sales proxies (scanner panels or retail audits), Google Trends, receipt panels, and distributor invoices. 2) Unitization: text = clause/sentence, video = shot or 5s window, image = frame/object cluster. 3) Codebook: annotate Otherization, Homogenization, Hegemony on a 0–3 intensity scale with examples and escalation rules; annotate discrete affect labels (pride, anger, disgust, fear) and spectacle/impossible‑demand markers. 4) Multilingual validation: recruit bilingual annotators, perform back‑translation and adjudication, target intercoder κ≥0.75. 5) NLP models: run ASR (verify WER targets), fine‑tune multilingual transformer (e.g., XLM‑RoBERTa) for text labels, use CLIP/vision embeddings for images, and build episode‑level fusion features (concatenate or late‑fusion). 6) Aggregation: align modalities by timestamps (±2s), aggregate intensity scores to episode and region-day series. 7) Causal analysis: synthetic control for primary treatment effect on sales/search, staggered DiD for robustness; predefine donor pool covariates and event windows (short 0–30d, medium 31–180d, long 181–365d). 8) Mediation: perform causal mediation tests to estimate how much of the total effect is transmitted via affect/engagement. 9) Robustness: run placebo dates, leave‑one‑out donors, exclude/include amplified content, and adversarial label tests. 10) Preregistration: fix codebook, donor criteria, thresholds, and primary hypotheses before analysis.</w:t>
      </w:r>
    </w:p>
    <w:p>
      <w:r>
        <w:t xml:space="preserve"> </w:t>
      </w:r>
    </w:p>
    <w:p>
      <w:pPr>
        <w:pStyle w:val="Heading2"/>
      </w:pPr>
      <w:r>
        <w:t>Experiments</w:t>
      </w:r>
    </w:p>
    <w:p>
      <w:r>
        <w:t>Datasets: (A) Pilot multimodal corpus: ~2,500–3,000 annotated segments (balanced across Hindi, two dialects, English); supplementary full corpus: ~10,000–50,000 multimodal segments; (B) Sales proxies: scanner panel or retail audit with 500–1,000 outlet time series by region; (C) Google Trends regional series for targeted product terms; (D) Receipt panel: ~2,000 households. Baselines: (1) lexicon-only classifier (keyword matching), (2) monolingual text classifier, (3) unimodal text-only multimodal ablation, (4) no-affect model (exclude affect features). Evaluation metrics: classifier: precision, recall, F1 per label and macro F1; intercoder reliability: Cohen's κ; ASR: WER; causal fit: pre-period RMSE and mean squared prediction error for synthetic control; treatment effect: absolute market-share change (percentage points) with 95% CI, permutation p-values; mediation: average causal mediation effect (ACME) and average direct effect (ADE) with bootstrap CIs. Experimental setup: 1) Train/validate classifiers on 80/20 split (holdout 20%); report per-language confusion matrices. 2) Build episode-level features and aggregate to region-day. 3) For each campaign event, run synthetic control using pre-specified donor pool matched on 12-month pretrend and covariates (GDP per capita, urbanization, baseline market share, seasonal controls). Predefined windows: short 0–30d, medium 31–180d, long 181–365d. 4) Conduct mediation tests where exposure → affect spike → sales change. 5) Ablations: (a) remove affect features, (b) use text-only fusion, (c) include amplified accounts instead of excluding them. 6) Multiple testing: apply Benjamini‑Hochberg FDR within families. 7) Report MDEs and achieved power per dataset.</w:t>
      </w:r>
    </w:p>
    <w:p>
      <w:r>
        <w:t xml:space="preserve"> </w:t>
      </w:r>
    </w:p>
    <w:p>
      <w:pPr>
        <w:pStyle w:val="Heading2"/>
      </w:pPr>
      <w:r>
        <w:t>Risk Factors And Limitations</w:t>
      </w:r>
    </w:p>
    <w:p>
      <w:r>
        <w:t>Legal and safety risks when studying politically sensitive actors and communities; potential vendor refusal to share proprietary sales data limiting causal power; ASR errors and high WER for low‑resource dialects reducing label quality; classifier bias across languages, dialects, castes, or sociolects that can distort affect measures; sampling bias in social media (nonrepresentative users) and receipt panels; difficulty distinguishing concurrent corporate promotions or regulation changes from treatment effects (time‑varying confounders); spillovers and SUTVA violations across neighboring regions; limited external validity beyond the studied cultural and market context; computational cost for large multimodal models and alignment; ethical risk of misusing or exposing sensitive excerpts; inability to fully measure long‑term welfare or structural harms within study timeframe.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