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ai_assessment_concealment_study</w:t>
      </w:r>
    </w:p>
    <w:p>
      <w:r>
        <w:t xml:space="preserve"> </w:t>
      </w:r>
    </w:p>
    <w:p>
      <w:pPr>
        <w:pStyle w:val="Heading2"/>
      </w:pPr>
      <w:r>
        <w:t>Title</w:t>
      </w:r>
    </w:p>
    <w:p>
      <w:r>
        <w:t>Cluster-randomized mixed-methods evaluation of student use and concealment of generative AI in online assessments and the effect of authentic data-based tasks on nondisclosure</w:t>
      </w:r>
    </w:p>
    <w:p>
      <w:r>
        <w:t xml:space="preserve"> </w:t>
      </w:r>
    </w:p>
    <w:p>
      <w:pPr>
        <w:pStyle w:val="Heading2"/>
      </w:pPr>
      <w:r>
        <w:t>Short Hypothesis</w:t>
      </w:r>
    </w:p>
    <w:p>
      <w:r>
        <w:t>Randomizing tutorials from traditional essays to authentic, data-based tasks causes a reduction in the proportion of students who submit work with undeclared AI assistance compared to traditional essays.</w:t>
      </w:r>
    </w:p>
    <w:p>
      <w:r>
        <w:t xml:space="preserve"> </w:t>
      </w:r>
    </w:p>
    <w:p>
      <w:pPr>
        <w:pStyle w:val="Heading2"/>
      </w:pPr>
      <w:r>
        <w:t>Related Work</w:t>
      </w:r>
    </w:p>
    <w:p>
      <w:r>
        <w:t>Existing work splits into two main approaches: (1) detection-focused methods that use stylometry, neural classifiers, or provenance features to flag AI-generated text, and (2) pedagogical/assessment interventions that redesign tasks to promote authenticity. Detection methods often achieve good accuracy on in-domain data but show high false positives on short texts, poor calibration across languages and disciplines, and vulnerability to paraphrasing and adversarial edits. Provenance-based approaches require voluntary metadata or instrumented authoring and are not widely deployable. Pedagogical interventions have shown promise but lack rigorous cluster-randomized evaluations and often omit forensic ground truth or robust measurement of concealment behaviours. Self-report surveys provide prevalence estimates but suffer social-desirability bias. There is limited prior work combining calibrated forensic signals, privacy-preserving self-report, human adjudication, and randomized tests of authentic tasks; gaps include subgroup fairness (international students, non-dominant languages), pre-registered thresholds, and realistic stress-testing under adversarial concealment.</w:t>
      </w:r>
    </w:p>
    <w:p>
      <w:r>
        <w:t xml:space="preserve"> </w:t>
      </w:r>
    </w:p>
    <w:p>
      <w:pPr>
        <w:pStyle w:val="Heading2"/>
      </w:pPr>
      <w:r>
        <w:t>Abstract</w:t>
      </w:r>
    </w:p>
    <w:p>
      <w:r>
        <w:t>Online assessments face two linked problems: students increasingly use generative AI to produce or edit submissions, and many hide or do not disclose that assistance. This study uses a cluster-randomized, mixed-methods design to measure how students use and conceal AI and whether authentic, data-based assessment tasks reduce undeclared AI use. We combine controlled ground-truth authoring sessions (to build labeled corpora), calibrated forensic detectors stratified by language and discipline, privacy-preserving self-report surveys, and human adjudication. The main contribution is an integrated, testable pipeline that fuses detector signals and protected self-reports via a Bayesian latent-class model and evaluates the causal effect of task design on nondisclosure. Expected outcomes are: (1) calibrated estimates of undeclared AI use across subgroups, (2) empirical comparison of traditional vs authentic tasks on concealment rates, and (3) reproducible artifacts (calibration sets, adjudication protocol, preregistered analysis) that show how assessment design interacts with student ethics and disclosure. Results will inform evidence-based, fairness-aware assessment policy beyond automated detection alone.</w:t>
      </w:r>
    </w:p>
    <w:p>
      <w:r>
        <w:t xml:space="preserve"> </w:t>
      </w:r>
    </w:p>
    <w:p>
      <w:pPr>
        <w:pStyle w:val="Heading2"/>
      </w:pPr>
      <w:r>
        <w:t>Methodology</w:t>
      </w:r>
    </w:p>
    <w:p>
      <w:r>
        <w:t>1) Design: run a cluster-randomized trial where tutorial groups are randomly assigned to either Traditional Essay or Authentic Data-Based Task. A cluster is one tutorial section; randomization preserves instructors and schedules. 2) Ground-truth: run controlled authoring sessions where consenting volunteers produce work under graded levels of AI assistance (none, partial edits, full draft) and save prompts, tool names, and revision histories. This yields labeled examples of AI involvement. 3) Measurement instruments: (a) calibrated forensic detectors that use linguistic, stylometric, and provenance signals; calibrate per subgroup using held-out calibration sets. Calibration means adjusting model scores so predicted probabilities match observed frequencies. (b) Privacy-preserving self-report (randomized-response or list experiments) to estimate true prevalence with reduced social-desirability bias. (c) Think-aloud and semi-structured interviews to capture concealment tactics. 4) Fusion: implement a Bayesian latent-class model (a statistical model that estimates an unobserved true class, here 'used AI', from imperfect indicators) combining detector outputs and self-report to estimate prevalence and individual probabilities. Pre-register priors and perform posterior predictive checks (compare simulated data from the model to real data). 5) Human adjudication: create blinded adjudication panels trained on gold-standard cases; record inter-rater reliability. 6) Analysis: primary analysis uses mixed-effects logistic regression (random intercepts for cluster and instructor) to estimate treatment effect on self-reported undeclared AI use and on objective forensic-evidence rates; test interaction with international status. Mediation tests assess perceived detection risk and moral disengagement as mediators. 7) Technical and privacy operations: store provenance separately, use irreversible pseudonymization, and enforce tiered consent.</w:t>
      </w:r>
    </w:p>
    <w:p>
      <w:r>
        <w:t xml:space="preserve"> </w:t>
      </w:r>
    </w:p>
    <w:p>
      <w:pPr>
        <w:pStyle w:val="Heading2"/>
      </w:pPr>
      <w:r>
        <w:t>Experiments</w:t>
      </w:r>
    </w:p>
    <w:p>
      <w:r>
        <w:t>Datasets: (A) Ground-truth corpus from controlled authoring: n≈600 artifacts across 3 languages and 4 disciplines with labels {none, partial, full AI}. (B) Course data: cluster-RCT sample targeting 120 clusters × 15 students ≈ 1800 student submissions across humanities courses, with matched surveys and optional screen-capture subsample (5–10%). (C) Qualitative set: think-aloud recordings and 60 semi-structured interviews stratified by international status. Baselines: (1) detection-only pipeline (off-the-shelf classifier calibrated globally), (2) self-report-only prevalence estimates, (3) calibrated subgroup detectors without fusion, (4) Bayesian fusion model. Evaluation metrics: primary: nondisclosure rate (proportion self-reporting undeclared AI assistance); secondary: objective AI-evidence rate (forensic signal prevalence). For detectors: sensitivity, specificity, PPV, NPV, ROC AUC, Brier score, calibration slope, calibration-in-the-large. For causal inference: cluster-level difference in nondisclosure rates, mixed-effects logistic regression coefficient and 95% CI, and interaction term for international status. Experimental setup: randomize clusters 1:1, pre-register ICC range 0.03–0.07, target 80–90% power to detect a 10–15 percentage-point absolute difference; include covariates (language proficiency, stakes) and random intercepts for cluster and instructor. Ablation studies: (A) fusion model with calibrated subgroup priors vs global priors; (B) detector pipeline with and without subgroup recalibration; (C) analysis excluding contaminated clusters. Model checks: posterior predictive checks, calibration plots per subgroup, and sensitivity analyses varying prior and assumed detector sensitivity/specificity.</w:t>
      </w:r>
    </w:p>
    <w:p>
      <w:r>
        <w:t xml:space="preserve"> </w:t>
      </w:r>
    </w:p>
    <w:p>
      <w:pPr>
        <w:pStyle w:val="Heading2"/>
      </w:pPr>
      <w:r>
        <w:t>Risk Factors And Limitations</w:t>
      </w:r>
    </w:p>
    <w:p>
      <w:r>
        <w:t>Detector failure to generalize under paraphrasing or adversarial edits; detectors miscalibrated across languages or short texts leading to biased estimates; social-desirability and nonresponse bias in self-report data; low consent rates or high attrition reducing power; contamination across clusters (peer sharing of task materials); ethical/legal risks for international students if data are re-identifiable; limited external validity outside sampled disciplines or institutions; inability of Bayesian fusion to separate some discordant cases (detector+ and self-report−); compute and storage limits for large multilingual calibration and screen-recording data; potential failure of measurement invariance for psychometric scales across language groups.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