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ssh_ethics_review_sweden</w:t>
      </w:r>
    </w:p>
    <w:p>
      <w:r>
        <w:t xml:space="preserve"> </w:t>
      </w:r>
    </w:p>
    <w:p>
      <w:pPr>
        <w:pStyle w:val="Heading2"/>
      </w:pPr>
      <w:r>
        <w:t>Title</w:t>
      </w:r>
    </w:p>
    <w:p>
      <w:r>
        <w:t>Qualitative evaluation of Swedish social science and humanities researchers' experiences of ethical review and the effect of an SSH-tailored decision tool on perceived procedural burden</w:t>
      </w:r>
    </w:p>
    <w:p>
      <w:r>
        <w:t xml:space="preserve"> </w:t>
      </w:r>
    </w:p>
    <w:p>
      <w:pPr>
        <w:pStyle w:val="Heading2"/>
      </w:pPr>
      <w:r>
        <w:t>Short Hypothesis</w:t>
      </w:r>
    </w:p>
    <w:p>
      <w:r>
        <w:t>Providing an SSH-tailored, transparency-enhanced ethical review decision tool to researchers causes a measurable reduction in their reported perceived administrative burden and increases clarity of REC requirements compared to standard REC guidance.</w:t>
      </w:r>
    </w:p>
    <w:p>
      <w:r>
        <w:t xml:space="preserve"> </w:t>
      </w:r>
    </w:p>
    <w:p>
      <w:pPr>
        <w:pStyle w:val="Heading2"/>
      </w:pPr>
      <w:r>
        <w:t>Related Work</w:t>
      </w:r>
    </w:p>
    <w:p>
      <w:r>
        <w:t>Prior work has documented tensions between research ethics committees (RECs), data-protection rules (GDPR), and social science and humanities (SSH) methods, reporting concerns about overbroad review, lack of proportionate/tiered pathways, and poor guidance for archival and digital methods. Studies have examined researcher perceptions using interviews and surveys and proposed tiered review frameworks, decision tools, and guidance addenda. Limitations in existing approaches include: (1) limited SSH-specific empirical evidence on how reforms change researcher experience; (2) small-sample qualitative studies often lacking explicit saturation or sampling matrices; (3) weak operationalization of identifiability risk and redaction protocols for small disciplinary communities; (4) scarce controlled evaluation of interventions (e.g., decision-tools or templates) against baseline REC practice; and (5) restricted access to REC decisions and inconsistent transparency, which prevents triangulation. These gaps limit causal claims about whether tailored governance tools reduce burden or improve clarity for SSH researchers.</w:t>
      </w:r>
    </w:p>
    <w:p>
      <w:r>
        <w:t xml:space="preserve"> </w:t>
      </w:r>
    </w:p>
    <w:p>
      <w:pPr>
        <w:pStyle w:val="Heading2"/>
      </w:pPr>
      <w:r>
        <w:t>Abstract</w:t>
      </w:r>
    </w:p>
    <w:p>
      <w:r>
        <w:t>This study examines Swedish social science and humanities (SSH) researchers' experiences with ethical review and tests whether an SSH-tailored, transparency-enhanced decision tool reduces perceived administrative burden and improves clarity about REC requirements. We begin with a qualitative phase of seven semi-structured group interviews (18 researchers) using refined vignettes on public online observation and archival work to generate themes and design the decision tool. We develop explicit reflexivity, identifiability, and data-governance procedures and a coding protocol with predefined saturation rules. We then pilot and evaluate the decision tool in a mixed-method trial comparing the full tool, templates-only, and current guidance. Primary outcomes are researcher-reported burden and clarity measured pre/post, supplemented by objective indicators such as REC processing time where available. Main contributions are (1) empirically grounded SSH-specific reform options, (2) an evaluated decision tool, and (3) documented procedures for saturation, identifiability, and FOI/legal contingencies to support transparent adoption by RECs and institutions.</w:t>
      </w:r>
    </w:p>
    <w:p>
      <w:r>
        <w:t xml:space="preserve"> </w:t>
      </w:r>
    </w:p>
    <w:p>
      <w:pPr>
        <w:pStyle w:val="Heading2"/>
      </w:pPr>
      <w:r>
        <w:t>Methodology</w:t>
      </w:r>
    </w:p>
    <w:p>
      <w:r>
        <w:t>1) Sampling and recruitment: Build a cross-case sampling matrix covering humanities vs social sciences, career stage (early/mid/senior), and institution/region. Target seven group interviews with 18 participants (9 humanities, 9 social sciences). Use departmental lists, learned-society channels, and regional centres; track refusals and oversample to allow 20–30% non-response. Inclusion/exclusion criteria: active SSH researchers in Sweden who have led or planned human-subjects projects; exclude those currently serving as REC decision-makers for confidentiality balance. 2) Group-interview protocol: Use semi-structured guides with two short vignettes (A: public online posts; B: archival letters with names). Assign lead facilitator and co-facilitator, rotate roles, set ground rules (equal voice, confidentiality), use rapid turn-taking and anonymous written prompts. Pre-session baseline survey captures attitudes to REC and GDPR. 3) Reflexivity and training: Require written team positionality statements (who we are, roles, conflicts), deliver facilitator training scripts addressing dominance and social desirability, and run reflexive audit memos after each session. 4) Recording and transcription: Record sessions (with consent), transcribe verbatim including pauses and notable nonverbal cues noted by facilitator. If translation is required, apply back-translation: translate from Swedish to English and a different translator back to Swedish to check meaning. Verbatim transcription means exactly what was said; back-translation is translating back to original language to confirm accuracy. 5) Identifiability and redaction: Create a redaction decision tree: if a quote contains niche identifiers (role + small institution + topic), paraphrase or synthesize the quote; full quotes only with explicit consent and low re-identification risk. Appoint an independent identifiability reviewer to clear outputs. 6) Data governance: Store data on institutional Swedish/EEA servers, encrypt at rest with AES-256 (a strong encryption standard) and use TLS for transit, enforce role-based access with multi-factor authentication, maintain DPAs with processors, retain raw data for five years then secure deletion, and prepare FOI contingency language in consent forms. 7) Analysis: Use NVivo or MAXQDA for auditable coding. Define meaning-units (short segments of interview text that convey a single idea) as coding units. Build a codebook with core domains (GDPR interpretation, proportionality, consent, administrative burden). Double-code 25–30% of transcripts, compute Cohen's kappa (agreement metric) aiming 0.60–0.80, and keep calibration memos documenting consensus. Apply stopping rules: stop collection after three consecutive sessions yield no new core codes and when code-accumulation curve shows &lt;5% new codes across two sessions. 8) Tool development: Derive a decision tool, templates, and transparency statement from themes; pilot internally then refine for the trial. 9) Ethics and consent: Use consent forms stating purpose, data uses, withdrawal rights (allow deletion of identifiable data up to an analysis-lock date), FOI implications, and contact for DPO. 10) Outputs: produce anonymized examples, policy brief, practitioner guide, and preregister protocol and materials (see Experiments).</w:t>
      </w:r>
    </w:p>
    <w:p>
      <w:r>
        <w:t xml:space="preserve"> </w:t>
      </w:r>
    </w:p>
    <w:p>
      <w:pPr>
        <w:pStyle w:val="Heading2"/>
      </w:pPr>
      <w:r>
        <w:t>Experiments</w:t>
      </w:r>
    </w:p>
    <w:p>
      <w:r>
        <w:t>Phase 1 (qualitative development): Conduct seven group interviews (18 participants) as above. Produce transcripts, codebook, saturation log, and independent reviewer assessments. Phase 2 (controlled evaluation): Target N=150 Swedish SSH researchers recruited via national lists and societies; randomize 1:1:1 into three arms: (A) full decision tool + templates + transparency statement (n=50), (B) templates-only (n=50), (C) control: current standard REC guidance (n=50). Pre-intervention collect baseline survey: perceived administrative burden (Likert 1–7), clarity of REC requirements (Likert 1–7), self-reported time to prepare REC submission (minutes), and willingness to share data. Deliver intervention materials online and allow 2 weeks for review. Post-intervention (2 weeks) repeat surveys and collect qualitative free-text feedback. Primary quantitative metrics: change in perceived administrative burden (delta Likert), change in clarity score, and time-to-prepare estimates. Statistical tests: ANOVA across three arms on change scores; pairwise t-tests with Bonferroni correction; report Cohen's d effect sizes. Power target: N=150 provides ~0.80 power to detect medium effect sizes (f≈0.25). Baselines: current REC guidance (arm C) and templates-only (arm B). Ablation study: compare A vs B to measure added value of the decision-tool and transparency statement. Secondary measures: thematic differences in free-text responses coded with the same codebook; intercoder agreement reported. Objective outcome (if feasible): compare REC processing times by tracking a subset of volunteer participants who submit real applications, using Authority data where accessible. Data handling: collect surveys and materials via secure institutional forms, store responses encrypted. Analysis reproducibility: preregister hypotheses, upload anonymized codebook, calibration memos, saturation logs, and aggregated results to an open repository (e.g., OSF) at publication.</w:t>
      </w:r>
    </w:p>
    <w:p>
      <w:r>
        <w:t xml:space="preserve"> </w:t>
      </w:r>
    </w:p>
    <w:p>
      <w:pPr>
        <w:pStyle w:val="Heading2"/>
      </w:pPr>
      <w:r>
        <w:t>Risk Factors And Limitations</w:t>
      </w:r>
    </w:p>
    <w:p>
      <w:r>
        <w:t>1) Recruitment risk: difficulty reaching target N or intersectional quotas, reducing representativeness. 2) Social desirability and dominance: group interviews may suppress dissenting views; facilitator bias or unequal voice can skew themes. 3) Small qualitative sample: seven group interviews (18 people) limit generalizability of qualitative findings beyond Sweden. 4) Identifiability risk: small disciplinary communities increase re-identification risk from quotes even after redaction. 5) Legal/FOI exposure: interview materials may be subject to Freedom of Information requests under Swedish rules; consent forms may not fully prevent disclosure. 6) Access to REC decisions: limited or delayed access to official REC decisions may block triangulation. 7) GDPR constraints: handling of special-category data or linking datasets may trigger DPIA requirements and restrict analyses. 8) Coding and analytic bias: intercoder disagreement and evolving codebooks can affect reproducibility despite calibration memos. 9) Power and effect-size limits: pilot trial sample may be insufficient to detect small effects, limiting statistical conclusions. 10) Technical failures: transcription errors, storage or encryption failures, or problems with online delivery platforms could compromise data integrity. 11) Scalability: resources needed for independent identifiability review, legal advice, and secure infrastructure may limit rapid replication at scale.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