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ethical_review_nonmedical_japan</w:t>
      </w:r>
    </w:p>
    <w:p>
      <w:r>
        <w:t xml:space="preserve"> </w:t>
      </w:r>
    </w:p>
    <w:p>
      <w:pPr>
        <w:pStyle w:val="Heading2"/>
      </w:pPr>
      <w:r>
        <w:t>Title</w:t>
      </w:r>
    </w:p>
    <w:p>
      <w:r>
        <w:t>SCAT-based qualitative analysis of research ethics committee review comments for non-medical research in Japan</w:t>
      </w:r>
    </w:p>
    <w:p>
      <w:r>
        <w:t xml:space="preserve"> </w:t>
      </w:r>
    </w:p>
    <w:p>
      <w:pPr>
        <w:pStyle w:val="Heading2"/>
      </w:pPr>
      <w:r>
        <w:t>Short Hypothesis</w:t>
      </w:r>
    </w:p>
    <w:p>
      <w:r>
        <w:t>Applying a standardized SCAT coding protocol with calibration and double-coding to REC review comments will produce reproducible thematic categories with Krippendorff's alpha ≥0.80 and reveal statistically significant differences in theme prevalence across disciplines and study types.</w:t>
      </w:r>
    </w:p>
    <w:p>
      <w:r>
        <w:t xml:space="preserve"> </w:t>
      </w:r>
    </w:p>
    <w:p>
      <w:pPr>
        <w:pStyle w:val="Heading2"/>
      </w:pPr>
      <w:r>
        <w:t>Related Work</w:t>
      </w:r>
    </w:p>
    <w:p>
      <w:r>
        <w:t>Existing work on ethical review practices in Japan emphasizes governance, confidentiality, and legal compliance in non-medical fields and uses committee reviews to check conformity to norms. Prior qualitative studies have used manual coding and general thematic analysis, and some recent projects augmented human review with basic NLP to surface frequent terms. Limitations include limited focus on non-medical REC comments, sparse methodological transparency (few published codebooks), weak intercoder reliability reporting, lack of bilingual codebooks, inadequate adversarial privacy testing, and little guidance for de-identification or reproducible pipelines. Current approaches rarely combine a documented SCAT procedure, formal reliability targets, stratified sampling with stopping rules, and measurable adversarial re-identification assessments.</w:t>
      </w:r>
    </w:p>
    <w:p>
      <w:r>
        <w:t xml:space="preserve"> </w:t>
      </w:r>
    </w:p>
    <w:p>
      <w:pPr>
        <w:pStyle w:val="Heading2"/>
      </w:pPr>
      <w:r>
        <w:t>Abstract</w:t>
      </w:r>
    </w:p>
    <w:p>
      <w:r>
        <w:t>We study how university research ethics committees (RECs) review non-medical research by applying a structured SCAT (Steps for Coding and Theorization) qualitative method to committee review comments in Japan. The approach combines a documented SCAT coding protocol, stratified purposive sampling across disciplines and study types, calibration and double-coding with target reliability, and formal de-identification plus adversarial re-identification tests. We augment manual analysis with an internal NLP pipeline that clusters excerpts and suggests candidate codes to speed coder review while preserving human judgment. The main contribution is an end-to-end, governance-aligned workflow that yields a bilingual codebook, transparent stopping rules, and measurable privacy-utility trade-offs for small corpora. Expected outcomes include a reproducible typology of REC concerns in non-medical research, quantified coder reliability, and an adversarial test report that informs safe public sharing of aggregated findings.</w:t>
      </w:r>
    </w:p>
    <w:p>
      <w:r>
        <w:t xml:space="preserve"> </w:t>
      </w:r>
    </w:p>
    <w:p>
      <w:pPr>
        <w:pStyle w:val="Heading2"/>
      </w:pPr>
      <w:r>
        <w:t>Methodology</w:t>
      </w:r>
    </w:p>
    <w:p>
      <w:r>
        <w:t>1) Approvals and data access: obtain institutional approvals and a written opinion from the Personal Information Protection Manager before accessing REC review records. 2) Sampling: create strata by discipline (social sciences, humanities, engineering, education, computer science) and study type (surveys, interviews, observation, big-data/secondary, UX/experimental). Set quotas of 6–10 proposals per stratum and plan for 40–60 total; batch in groups of 10 for saturation checks. 3) De-identification: two-tier process. Tier A automated rule-based removal of direct identifiers (names, emails, IDs) using regex and a Japanese NER model; date masking and contextual redaction. Tier B frequency-based suppression and phrase generalization to enforce k-anonymity (k≥5). Reversible pseudonymization only when necessary; keys stored in an HSM under dual control. (NER = named-entity recognition; HSM = hardware security module.) 4) Adversarial tests: simulate linkage attacks against public sources, run phrase uniqueness checks, and run embedding-based nearest-neighbor probes using local sentence embeddings to estimate re-identification rate. Iterate redaction until residual risk meets a preregistered threshold. 5) SCAT coding workflow: Step 1 extract notable words/phrases and KWIC (keyword-in-context) lines; Step 2 paraphrase excerpts in plain language and log rationale; Step 3 assign provisional concept codes with inclusion/exclusion rules; Step 4 synthesize themes and write memos mapping themes to policy. Provide worked examples in a coding manual. 6) Calibration and reliability: build a calibration set of 10–15 proposals; train coders for set hours; double-code 25–30% of corpus; compute Krippendorff's alpha and Cohen's kappa. Hold weekly reconciliation meetings and maintain a versioned codebook and change log. 7) NLP support: run Japanese tokenization (Sudachi or MeCab), compute sentence embeddings (a Japanese BERT model), cluster with UMAP+HDBSCAN to surface candidate codes, and provide concordance tools for coders. Explain: embeddings map sentences to numbers so similar sentences are close. 8) Translation: bilingual coders produce back-translations; maintain a translation log and adjudicate differences with an independent reviewer. 9) Data governance: store processed data on secure institutional servers, encrypt at rest/in transit, log access, and keep raw de-identified records in a controlled repository with access agreements.</w:t>
      </w:r>
    </w:p>
    <w:p>
      <w:r>
        <w:t xml:space="preserve"> </w:t>
      </w:r>
    </w:p>
    <w:p>
      <w:pPr>
        <w:pStyle w:val="Heading2"/>
      </w:pPr>
      <w:r>
        <w:t>Experiments</w:t>
      </w:r>
    </w:p>
    <w:p>
      <w:r>
        <w:t>Datasets: collect REC review comments and related application excerpts from one Japanese university, target N=40–60 proposals stratified by discipline and study type; create a held-out 10-proposal test set. Baselines: (A) manual thematic analysis without SCAT, (B) SCAT manual coding without NLP assistance, (C) SCAT with NLP-assisted candidate codes. Metrics: Krippendorff's alpha and Cohen's kappa for intercoder reliability; theme prevalence differences tested by chi-square or Fisher's exact test across strata; saturation criterion tracked by new-theme counts per batch and code-frequency change percent; topic/model metrics: coherence (e.g., c_v) and cluster purity; privacy metrics: empirical re-identification rate from adversarial tests (fraction of simulated attacks that link to a unique identity) and embedding nearest-neighbor re-ID rate; utility metrics: percentage of coder-accepted NLP suggestions and change in coding time per excerpt. Experimental setup: 1) Run de-identification with multiple k settings (k=3,5,10) and record utility and re-ID metrics. 2) Run DP (differential privacy) aggregates with epsilons ε={0.5,1.0,2.0} for tabular outputs and measure accuracy loss. 3) Train sentence embeddings locally and run UMAP+HDBSCAN clustering to produce candidate clusters; measure cluster coherence and present exemplars to coders. 4) Randomly assign coders to conditions: baseline A, B, or C. Ensure 25–30% of corpus is double-coded under each condition. 5) Ablation study: remove NLP assistance and compare reliability, time per excerpt, and theme detection rates; second ablation: compare Tier A only de-id vs Tier A+B de-id on re-ID and coder utility. 6) Adversarial linkage tests: use a curated set of public web pages, institutional staff lists, and known-project metadata to attempt linkage; record fraction of successful linkages. 7) Statistical analysis: report confidence intervals and p-values for differences in reliability and theme prevalence; report trade-off curves of privacy risk vs utility for k and ε settings.</w:t>
      </w:r>
    </w:p>
    <w:p>
      <w:r>
        <w:t xml:space="preserve"> </w:t>
      </w:r>
    </w:p>
    <w:p>
      <w:pPr>
        <w:pStyle w:val="Heading2"/>
      </w:pPr>
      <w:r>
        <w:t>Risk Factors And Limitations</w:t>
      </w:r>
    </w:p>
    <w:p>
      <w:r>
        <w:t>1) Legal ambiguity: uncertainty whether REC comments are 'personal information' under APPI may block access or require stricter controls. 2) Small sample size: target N=40–60 limits statistical power and makes k-anonymity and differential privacy noisy; privacy mechanisms may severely reduce utility. 3) Adversarial tests incompleteness: simulated attacks may not cover real-world linkage paths, leaving residual risk. 4) Translation errors: back-translation may miss nuance, causing code drift or inconsistent themes. 5) Coder bias and subjectivity: even with calibration, cultural or institutional biases may shape codes and memos. 6) Resource constraints: HSMs, bilingual coders, and secure compute increase cost and may be unavailable. 7) NLP limitations: clustering and embeddings depend on model choice and parameter tuning; poor clusters can mislead coders. 8) Generalizability: findings from one university may not transfer to other institutions or countries. 9) Data retention and governance complexity: long-term storage, key custody, and access controls pose operational and legal burdens. 10) Remaining re-identification risk: despite measures, small unique phrasing may allow re-identification beyond measured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