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risk_perception_homogeneity</w:t>
      </w:r>
    </w:p>
    <w:p>
      <w:r>
        <w:t xml:space="preserve"> </w:t>
      </w:r>
    </w:p>
    <w:p>
      <w:pPr>
        <w:pStyle w:val="Heading2"/>
      </w:pPr>
      <w:r>
        <w:t>Title</w:t>
      </w:r>
    </w:p>
    <w:p>
      <w:r>
        <w:t>Text mining of corporate risk‑factor disclosures to measure risk‑perception homogeneity and its effect on systemic financial risk</w:t>
      </w:r>
    </w:p>
    <w:p>
      <w:r>
        <w:t xml:space="preserve"> </w:t>
      </w:r>
    </w:p>
    <w:p>
      <w:pPr>
        <w:pStyle w:val="Heading2"/>
      </w:pPr>
      <w:r>
        <w:t>Short Hypothesis</w:t>
      </w:r>
    </w:p>
    <w:p>
      <w:r>
        <w:t>An increase in firm‑ and sector‑level homogeneity of risk perceptions, extracted from corporate risk‑factor disclosures by text mining, causally increases systemic financial risk as measured by ΔCoVaR, MES, and SRISK.</w:t>
      </w:r>
    </w:p>
    <w:p>
      <w:r>
        <w:t xml:space="preserve"> </w:t>
      </w:r>
    </w:p>
    <w:p>
      <w:pPr>
        <w:pStyle w:val="Heading2"/>
      </w:pPr>
      <w:r>
        <w:t>Related Work</w:t>
      </w:r>
    </w:p>
    <w:p>
      <w:r>
        <w:t>Existing work falls into three groups. First, studies that extract risk signals from firm disclosures or news using text mining and topic models produce firm‑level risk measures but rarely quantify cross‑firm similarity or propagate annotation uncertainty. Second, systemic‑risk literature uses market data (CoVaR, MES, SRISK) and financial networks to measure interconnectedness and tail contagion, but typically omits firms' expressed perceptions as inputs. Third, network and mediation studies link centrality to contagion but often treat networks as exogenous or measured with error. Limitations across these approaches include weak handling of natural‑language measurement error, conflation of boilerplate with substantive content, limited causal identification strategies linking language to systemic outcomes, sparse cross‑regime or multilingual validation, and few methods for propagating NLP uncertainty into economic inference.</w:t>
      </w:r>
    </w:p>
    <w:p>
      <w:r>
        <w:t xml:space="preserve"> </w:t>
      </w:r>
    </w:p>
    <w:p>
      <w:pPr>
        <w:pStyle w:val="Heading2"/>
      </w:pPr>
      <w:r>
        <w:t>Abstract</w:t>
      </w:r>
    </w:p>
    <w:p>
      <w:r>
        <w:t>We study whether similarity in corporate risk perceptions—measured from firms' risk‑factor disclosures using text mining—affects systemic financial risk. We extract structured risk vectors for firms from disclosure text, quantify homogeneity within and across sectors using a weighted cosine homogeneity index (H) and alternative divergence measures, and link H to systemic risk indicators (ΔCoVaR, MES, SRISK) and network centrality. The main contribution is an end‑to‑end pipeline that (1) produces probabilistic risk vectors from calibrated NLP classifiers, (2) detects and accounts for boilerplate text, (3) propagates measurement uncertainty into econometric estimates (SIMEX and Bayesian hierarchical approaches), and (4) integrates network mediation tests and causal checks (instruments, event studies, lead/placebo tests). Expected outcomes are a validated, pre‑registered estimand for the causal effect of perception homogeneity on systemic risk, sensitivity bounds accounting for NLP error, and concrete guidance on when disclosure homogeneity signals elevated systemic vulnerability.</w:t>
      </w:r>
    </w:p>
    <w:p>
      <w:r>
        <w:t xml:space="preserve"> </w:t>
      </w:r>
    </w:p>
    <w:p>
      <w:pPr>
        <w:pStyle w:val="Heading2"/>
      </w:pPr>
      <w:r>
        <w:t>Methodology</w:t>
      </w:r>
    </w:p>
    <w:p>
      <w:r>
        <w:t>1) Data collection: collect risk‑factor sections from firm filings (e.g., 10‑K/10‑Q) and map firms to identifiers (CIK/LEI). 2) Annotation: build a gold set of paragraphs labeled with K risk categories, intensity (0–3), attribution, imminence, and mitigation cues. Measure inter‑annotator agreement (Krippendorff’s α target &gt;0.7). 3) NLP models: train domain‑adapted transformer classifiers (example: FinBERT/Longformer) to output calibrated category probabilities per paragraph; calibration measured by Brier score and reliability diagrams. 4) Risk vectors: aggregate paragraph probabilities into firm‑period normalized risk vectors x_{i,t} in [0,1]^K with sum 1. Handle zeros by adding small smoothing mass. 5) Homogeneity index H: compute weighted pairwise cosine similarity across firms H_t = (1/M_t) ∑_{i&lt;j} w_{i,t} w_{j,t} cos(x_{i,t},x_{j,t}) with primary weight w=market cap; pre‑register Jensen‑Shannon and entropy alternatives. Explain cosine: a measure of similarity between two vectors. 6) Boilerplate detection: use MinHash + LSH on paragraph shingles to flag high‑reuse text; downweight or exclude flagged paragraphs. 7) Uncertainty propagation: treat x_{i,t} as probabilistic; apply SIMEX for errors‑in‑variables and a Bayesian hierarchical measurement model to obtain posterior draws of H and downstream coefficients. 8) Systemic measures: compute ΔCoVaR, MES, SRISK from filtered returns (GARCH family) and rolling windows. 9) Causal tests: pre‑register primary regression ΔCoVaR_{i,t} = α + β H_{t-1} + γ X_{i,t-1} + η_i + τ_t + ε_{i,t} with firm and time fixed effects and a single lag H_{t-1}; implement instrument/ event‑study strategies, lead/placebo tests, and dynamic estimators (system GMM) as alternatives. 10) Mediation: build time‑lagged networks (supplier links, cross‑holdings, return spillovers) and test whether H affects systemic risk via changes in centrality using panel mediation with bootstrapped CIs.</w:t>
      </w:r>
    </w:p>
    <w:p>
      <w:r>
        <w:t xml:space="preserve"> </w:t>
      </w:r>
    </w:p>
    <w:p>
      <w:pPr>
        <w:pStyle w:val="Heading2"/>
      </w:pPr>
      <w:r>
        <w:t>Experiments</w:t>
      </w:r>
    </w:p>
    <w:p>
      <w:r>
        <w:t>Datasets: pilot sample of ~200 publicly listed firms across 5 sectors, 5–8 years quarterly filings (≈4,000 firm‑quarters); annotated gold corpus of 1,200–1,500 paragraphs; market returns and balance‑sheet variables for systemic risk computation. Baselines: (A) no‑language baseline (only controls X), (B) raw keyword counts aggregated to firm periods, (C) homogeneity computed on boilerplate‑stripped text, (D) randomized/placebo H (permuted across firms). Classifier evaluation: 10‑fold cross‑validation on gold set; report precision, recall, F1, Brier score, and calibration curves. Primary econometric test: estimate β in ΔCoVaR_{i,t} = α + β H_{t-1} + γ X_{i,t-1} + η_i + τ_t + ε_{i,t}; report clustered SEs (firm) and two‑way clustering (firm, quarter). Power and sensitivity: Monte‑Carlo simulations varying effect size β (0.10–0.25 SD), ICC (0.05–0.2), AR(1) ρ (0–0.5), and attenuation factors (0.6–0.9) to produce power curves and expansion rules. Ablations: (1) with vs without uncertainty propagation (SIMEX/Bayes), (2) with vs without boilerplate removal, (3) H defined by cosine vs Jensen‑Shannon vs entropy, (4) fixed‑effects OLS vs system GMM vs IV (candidate instruments: staggered disclosure mandates, exogenous regional shocks). Evaluation metrics: statistical significance and magnitude of β (p‑values, 95% CIs), proportion of variance explained in systemic outcomes (ΔR^2), mediation proportion through centrality, classifier RMSE and calibration, Krippendorff’s α for annotation, and first‑stage F for instruments. Reporting: pre‑registered primary result uses cosine H, H_{t-1} → ΔCoVaR_{t}, OLS with firm and time FE; all other results are labeled robustness or secondary.</w:t>
      </w:r>
    </w:p>
    <w:p>
      <w:r>
        <w:t xml:space="preserve"> </w:t>
      </w:r>
    </w:p>
    <w:p>
      <w:pPr>
        <w:pStyle w:val="Heading2"/>
      </w:pPr>
      <w:r>
        <w:t>Risk Factors And Limitations</w:t>
      </w:r>
    </w:p>
    <w:p>
      <w:r>
        <w:t>1) Measurement error: NLP classifiers may mislabel categories, producing attenuation or biased H; SIMEX and Bayesian corrections may not fully recover true effects. 2) Boilerplate confounding: repeated, templated text can dominate similarity scores and may correlate with firm size or sector. 3) Simultaneity and reverse causality: systemic stress may change disclosures contemporaneously; lag choice H_{t-1} may not fully separate anticipation from reaction. 4) Instrument validity: candidate instruments (policy timing, regional shocks) may violate exclusion if they affect systemic risk through channels other than H. 5) Annotation biases: limited or non‑representative gold set (sector, time) will bias classifiers. 6) Scalability: computing pairwise H is O(N^2) and may be infeasible for large universes without approximation; transformer training needs substantial GPU resources. 7) Cross‑country generalization: multilingual text and differences in disclosure regimes (GAAP/IFRS) may reduce measurement equivalence. 8) Network endogeneity: centrality measures are endogenous and complicate mediation identification. 9) Data availability: missing filings, redactions, or access restrictions can create attrition and sample selection bias. 10) Statistical power: small true effects or high attenuation from measurement error may require sample expansion beyond the pilot.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