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esl_repair_multimodal_ca</w:t>
      </w:r>
    </w:p>
    <w:p>
      <w:r>
        <w:t xml:space="preserve"> </w:t>
      </w:r>
    </w:p>
    <w:p>
      <w:pPr>
        <w:pStyle w:val="Heading2"/>
      </w:pPr>
      <w:r>
        <w:t>Title</w:t>
      </w:r>
    </w:p>
    <w:p>
      <w:r>
        <w:t>A conversation-analytic multimodal study of repair initiation and its effect on immediate uptake in Ghanaian ESL classrooms</w:t>
      </w:r>
    </w:p>
    <w:p>
      <w:r>
        <w:t xml:space="preserve"> </w:t>
      </w:r>
    </w:p>
    <w:p>
      <w:pPr>
        <w:pStyle w:val="Heading2"/>
      </w:pPr>
      <w:r>
        <w:t>Short Hypothesis</w:t>
      </w:r>
    </w:p>
    <w:p>
      <w:r>
        <w:t>Repair initiations that include aligned multimodal cues (speaker gaze toward addressee, clear gesture stroke, or prosodic marking) cause higher probability and faster quality uptake by students than repair initiations that lack these multimodal cues.</w:t>
      </w:r>
    </w:p>
    <w:p>
      <w:r>
        <w:t xml:space="preserve"> </w:t>
      </w:r>
    </w:p>
    <w:p>
      <w:pPr>
        <w:pStyle w:val="Heading2"/>
      </w:pPr>
      <w:r>
        <w:t>Related Work</w:t>
      </w:r>
    </w:p>
    <w:p>
      <w:r>
        <w:t>Conversation analysis (CA) studies have characterized repair as a sequential mechanism for resolving trouble in talk and have produced fine-grained taxonomies of repair types and positions (pre-, during-, post-trouble). Applied classroom research has shown teacher-led repair and student uptake patterns but often reports frequencies without tight sequential grounding. Multimodal interaction work has demonstrated that gaze, gesture, and prosody co-occur with repair moves, and recent toolchains (forced aligners, OpenFace for facial/gaze data, Praat for prosody) enable scalable multimodal annotation. Limitations in prior work include: reliance on audio/transcript-only analyses that miss visual cues; inconsistent operational timing windows for pre-initiation and uptake; limited inter-rater reliability procedures for multimodal tiers; little validation of automated tools for darker skin tones and classroom lighting; and sampling approaches that do not predefine saturation or stopping rules. Current approaches therefore risk biased counts, under-specified chain boundaries, and reduced reproducibility in field classroom settings.</w:t>
      </w:r>
    </w:p>
    <w:p>
      <w:r>
        <w:t xml:space="preserve"> </w:t>
      </w:r>
    </w:p>
    <w:p>
      <w:pPr>
        <w:pStyle w:val="Heading2"/>
      </w:pPr>
      <w:r>
        <w:t>Abstract</w:t>
      </w:r>
    </w:p>
    <w:p>
      <w:r>
        <w:t>This study uses conversation analysis (CA) with multimodal annotation to examine how repair initiation functions to manage communication trouble in Ghanaian ESL classrooms and whether multimodal cues influence immediate student uptake. We analyze a stratified sample from 52 hours of classroom recordings using a preregistered coding manual that defines repair types, chain boundaries, and multimodal tiers (gaze, gesture, prosody, code-switching). Automated tools (forced alignment, OpenFace, Praat) are validated on local data and combined with manual adjudication in a reliability pilot. The main contribution is a reproducible CA-grounded protocol that links sequential repair moves to measurable uptake outcomes (occurrence, quality, latency) while reporting sensitivity to timing windows and tool errors. Expected outcomes are: a validated multimodal repair taxonomy, empirical evidence on the causal role of multimodal cues for uptake within CA sequences, and practical guidance for teachers and researchers about observable signals that support repair success. The study emphasizes transparent preregistration, IRR targets, and controlled data governance for multimodal classroom data.</w:t>
      </w:r>
    </w:p>
    <w:p>
      <w:r>
        <w:t xml:space="preserve"> </w:t>
      </w:r>
    </w:p>
    <w:p>
      <w:pPr>
        <w:pStyle w:val="Heading2"/>
      </w:pPr>
      <w:r>
        <w:t>Methodology</w:t>
      </w:r>
    </w:p>
    <w:p>
      <w:r>
        <w:t>1) Define coding manual: create operational definitions for repair initiation types (pre/during/post), initiator identity (teacher/student), repair target (self/other/third party), and chaining rules (when a repair sequence starts and ends). Include worked examples for overlaps, partial repeats, and code-switched repairs. 2) Sampling: stratify the 52-hour corpus by lesson type (form-focused, communicative, reading/listening), teacher, class size, and proficiency; draw a balanced sample for annotation and set a stopping rule based on new-code rate (e.g., stop when fewer than one new code appears per 3 coding hours across two consecutive sampling blocks). 3) Annotation stack: use ELAN for time-aligned transcription and tiering. Forced aligner (automatic alignment of words to audio) creates TextGrids; Praat extracts prosody (pitch/intensity); OpenFace extracts face/gaze metrics. Annotate gaze (direction, target, onset/offset), gestures (phase: preparation/stroke/hold/retraction), prosody (F0 contour, final lengthening, intensity), code-switching tokens, and repair labels. 4) Tool validation: validate automated outputs on stratified local samples. For each tool record sensitivity and error rates; flag segments failing thresholds for manual correction. 5) IRR pilot: double-code 6–8 hours across lesson types; compute Cohen's kappa for categorical tiers, Krippendorff's alpha for multi-category tiers, and ICC for continuous measures. Adjudicate disagreements with a two-tier panel and update manual before full coding. 6) Measures: define uptake occurrence (yes/no), uptake quality (0 = none, 1 = partial, 2 = full), and uptake latency (ms from repair end to first uptake cue). 7) Analysis: conduct CA sequential analysis on exemplars, then model uptake outcomes with mixed-effects regression where multimodal cue presence and timing are predictors and random effects account for teacher and class. 8) Preregister temporal windows (default pre-initiation 1.5 s, uptake 3.0 s) and sensitivity analyses across specified ranges.</w:t>
      </w:r>
    </w:p>
    <w:p>
      <w:r>
        <w:t xml:space="preserve"> </w:t>
      </w:r>
    </w:p>
    <w:p>
      <w:pPr>
        <w:pStyle w:val="Heading2"/>
      </w:pPr>
      <w:r>
        <w:t>Experiments</w:t>
      </w:r>
    </w:p>
    <w:p>
      <w:r>
        <w:t>Dataset: 52 hours of Ghanaian ESL classroom video and audio recordings. Use stratified sampling as described; annotate full sample or an agreed subset after IRR pilot. Baselines: (A) sequence-only CA baseline (repair labels and transcripts without multimodal tiers); (B) counts-only baseline (frequency counts of repair types and uptake rates); (C) audio-only baseline (transcript + prosody only). Models and comparisons: 1) Primary test: mixed-effects logistic regression predicting uptake occurrence (binary) with fixed effects: multimodal cue presence (gaze, gesture, prosody as separate binary predictors), repair type, initiator identity, and timing windows; random intercepts for teacher and lesson. 2) Secondary test: mixed-effects ordinal logistic regression predicting uptake quality (0/1/2) with same predictors. 3) Latency analysis: linear mixed-effects model predicting uptake latency (ms) with multimodal predictors. Evaluation metrics: Cohen's kappa and Krippendorff's alpha for IRR; model fit (AIC), effect sizes (odds ratios with 95% CI), p-values, and marginal R-squared for mixed models; median and interquartile range for latency; confusion matrices for categorical outcomes. Ablation study: compare full multimodal model vs. models with one modality removed (no gaze, no gesture, no prosody) to quantify modality contribution. Additional comparison: test audio-only vs. full multimodal to show added predictive power. Statistical controls: include sensitivity analyses across preregistered temporal windows (pre-initiation 1.0–2.0 s, uptake 2.5–4.0 s). Baseline significance threshold: two-sided alpha = 0.05. Reporting: report both sequence exemplars (qualitative CA vignettes) and aggregate model results. Reproducibility: publish coding manual, preregistration, and redacted ELAN vignettes under controlled access.</w:t>
      </w:r>
    </w:p>
    <w:p>
      <w:r>
        <w:t xml:space="preserve"> </w:t>
      </w:r>
    </w:p>
    <w:p>
      <w:pPr>
        <w:pStyle w:val="Heading2"/>
      </w:pPr>
      <w:r>
        <w:t>Risk Factors And Limitations</w:t>
      </w:r>
    </w:p>
    <w:p>
      <w:r>
        <w:t>1) Automated-tool failures: OpenFace may mis-detect gaze/facial features under classroom lighting or darker skin tones; forced aligner may produce boundary errors in noisy recordings. 2) Annotation ambiguity: overlap, partial gestures, and code-switched tokens may be hard to classify consistently, increasing adjudication load. 3) Sample sparsity: some repair subtypes may be rare, limiting power to detect effects or meet target instance counts. 4) Generalization limits: findings from Ghanaian classrooms may not generalize to other educational or cultural settings. 5) Timing sensitivity: results may depend on preregistered windows; different window choices can change conclusions. 6) Compute and labor costs: manual correction and multimodal annotation are time-consuming and may exceed planned person-hours if many segments are flagged. 7) Ethical/data sharing constraints: anonymization (face-blurring, voice transformation) may reduce analytic fidelity for some multimodal measures and limit open sharing. 8) Causal limits: mixed-effects models show association within sequences but cannot prove long-term learning effects or causation beyond micro-sequence influence.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