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military_board_audit_em_pak</w:t>
      </w:r>
    </w:p>
    <w:p>
      <w:r>
        <w:t xml:space="preserve"> </w:t>
      </w:r>
    </w:p>
    <w:p>
      <w:pPr>
        <w:pStyle w:val="Heading2"/>
      </w:pPr>
      <w:r>
        <w:t>Title</w:t>
      </w:r>
    </w:p>
    <w:p>
      <w:r>
        <w:t>Staggered event-study analysis of military-affiliated board appointments and audit-quality moderation on accrual and real earnings management in Pakistan</w:t>
      </w:r>
    </w:p>
    <w:p>
      <w:r>
        <w:t xml:space="preserve"> </w:t>
      </w:r>
    </w:p>
    <w:p>
      <w:pPr>
        <w:pStyle w:val="Heading2"/>
      </w:pPr>
      <w:r>
        <w:t>Short Hypothesis</w:t>
      </w:r>
    </w:p>
    <w:p>
      <w:r>
        <w:t>The first verified appointment of a military-affiliated director to a non-financial firm listed on the Pakistan Stock Exchange causes a reduction in accrual-based discretionary accruals, with a larger reduction when firm audit quality is higher.</w:t>
      </w:r>
    </w:p>
    <w:p>
      <w:r>
        <w:t xml:space="preserve"> </w:t>
      </w:r>
    </w:p>
    <w:p>
      <w:pPr>
        <w:pStyle w:val="Heading2"/>
      </w:pPr>
      <w:r>
        <w:t>Related Work</w:t>
      </w:r>
    </w:p>
    <w:p>
      <w:r>
        <w:t>Prior work links board composition and director background to earnings management using cross-sectional regressions and difference-in-differences. Several studies analyze military experience on boards in emerging markets and report correlations with governance outcomes. Common limitations are weak causal identification (failure to account for staggered treatment timing and pre-trends), limited handling of auditor-choice endogeneity, coarse measurement of director military affiliation, and narrow audit-quality proxies (often Big4 dummy only). Existing REM studies frequently omit robust composite audit-quality indices and measurement-error corrections for manually coded director attributes. Few studies combine modern staggered-adoption estimators, validated roster coding with confidence scores, and explicit auditor-endogeneity models, leaving open whether observed correlations reflect causal effects or selection.</w:t>
      </w:r>
    </w:p>
    <w:p>
      <w:r>
        <w:t xml:space="preserve"> </w:t>
      </w:r>
    </w:p>
    <w:p>
      <w:pPr>
        <w:pStyle w:val="Heading2"/>
      </w:pPr>
      <w:r>
        <w:t>Abstract</w:t>
      </w:r>
    </w:p>
    <w:p>
      <w:r>
        <w:t>This study examines whether appointing military-affiliated directors to corporate boards affects earnings management in Pakistani non-financial firms (2010–2022), and whether audit quality modifies that effect. We use a staggered event-study/difference-in-differences design centered on each firm's first verified military appointment and apply modern estimators for staggered adoption to estimate dynamic treatment effects. Military affiliation is coded with a 1–3 confidence score and tested for measurement error. Earnings management outcomes include accrual-based discretionary accruals (Modified Jones) and real-activity measures (abnormal cash flow, production, discretionary expenses). Audit quality is summarized in a multi-proxy index (PCA on Big4, tenure, industry specialization, audit fees, internal-audit maturity, committee expertise). We model auditor-choice endogeneity with control-function and auditor-switch analyses and report robustness to alternative measures, imputations, and measurement-error corrections. Expected outcome: clearer causal estimates of the effect of military directors on accrual and real earnings management and evidence on whether better audit quality strengthens governance effects.</w:t>
      </w:r>
    </w:p>
    <w:p>
      <w:r>
        <w:t xml:space="preserve"> </w:t>
      </w:r>
    </w:p>
    <w:p>
      <w:pPr>
        <w:pStyle w:val="Heading2"/>
      </w:pPr>
      <w:r>
        <w:t>Methodology</w:t>
      </w:r>
    </w:p>
    <w:p>
      <w:r>
        <w:t>1. Data collection: build a firm-year panel of non-financial firms listed on the Pakistan Stock Exchange (2010–2022). Harvest annual reports, company bios, regulator filings, and reputable news for board lists and auditor data. 2. MIL roster: create MIL_DUMMY (1 if any director has verified military service), MIL_SHARE (fraction of board seats), MIL_APPT_YEAR (first verified appointment year), MIL_ROLE flags (chair, audit-committee member), MIL_RANK_LEVEL and MIL_CONFIDENCE (3=primary-source, 2=corroborated, 1=ambiguous). Double-code a stratified adjudication subsample and report inter-coder reliability. 3. Earnings-management measures: compute accrual-based discretionary accruals using the performance-adjusted Modified Jones model (estimated yearly) and real EM components: abnormal CFO, abnormal production, and abnormal discretionary expenses; standardize and sum for a composite REM. Explain terms: discretionary accruals are accounting entries managers can adjust; real EM are real actions like cutting R&amp;D or increasing production to manipulate reported earnings. 4. Audit-quality index: standardize proxies (BIG4 dummy, auditor tenure, industry specialization score, audit fees/asset, internal-audit dummy, number of financial experts on audit committee) and run PCA to produce AUD_QINDEX; also keep individual proxies. 5. Primary estimator: event-study/DID around t0 = first verified MIL appointment. Use staggered-adoption estimators (Callaway &amp; Sant’Anna and Sun &amp; Abraham) with primary event window [-3,+6], lead tests for pre-trends, and firm and year fixed effects. 6. Controls: lagged firm size, leverage, ROA, market-to-book, sales growth, cash/assets, board size, % independent directors, ownership controls (family, state), CEO duality, industry×year fixed effects. 7. Auditor endogeneity: estimate a first-stage auditor-choice model (probit or multinomial logit for Big4/type) and include residuals as control-function terms in outcome regressions; perform auditor-switch event analyses; consider IV only if a credible exogenous shock (e.g., regional Big4 office opening/closing) is available and pre-specified. 8. Measurement-error handling: estimate misclassification rates from adjudication subsample; apply regression-calibration or SIMEX to adjust bias; run multiple imputation for missing MIL attributes and combine estimates using Rubin’s rules. 9. Inference: cluster standard errors at the firm level, use wild-cluster bootstrap if few clusters, and apply Benjamini–Hochberg correction across the primary family of tests. 10. Pre-registration and pilot: pre-register main estimand, primary outcome (signed Modified Jones DA), primary estimator and window, and run a 40–60 firm pilot to validate coding and power.</w:t>
      </w:r>
    </w:p>
    <w:p>
      <w:r>
        <w:t xml:space="preserve"> </w:t>
      </w:r>
    </w:p>
    <w:p>
      <w:pPr>
        <w:pStyle w:val="Heading2"/>
      </w:pPr>
      <w:r>
        <w:t>Experiments</w:t>
      </w:r>
    </w:p>
    <w:p>
      <w:r>
        <w:t xml:space="preserve">Datasets: Full panel of non-financial PSX-listed firm-years 2010–2022; pilot panel of 40–60 stratified firms for coding validation. Baselines: (A) OLS firm and year fixed-effects regressions, (B) Sun &amp; Abraham event-study estimator, (C) Callaway &amp; Sant’Anna estimator, (D) propensity-score weighted DID, (E) system-GMM dynamic check. Moderator/Endogeneity baselines: (F) control-function outcome model using first-stage auditor-choice probit; (G) auditor-switch difference analysis. Outcomes and metrics: primary outcome = signed discretionary accruals (Modified Jones residuals); secondary outcomes = absolute DA, REM composite, and REM components (abnormal CFO, PRODA, DISXA). Report coefficient estimates, robust standard errors, 95% confidence intervals, p-values, event-time lead/lag coefficients, and MDE/power statistics. Experimental setup: define treatment t0 = first year with MIL_DUMMY=1 where MIL_CONFIDENCE&gt;=2; exclude firm-years with major M&amp;A or restatement within ±2 years in main sample. Cluster SEs at firm level; use wild-cluster bootstrap if clusters &lt;50. Pre-specified event window: [-3,+6]; test leads at t-3,t-2,t-1 and lags t+1…t+6. Ablation studies: 1) exclude MIL_CONFIDENCE=2 to test only confidence=3, 2) compare AUD_QINDEX (PCA) vs single-proxy Big4-only, 3) omit firms that switch auditors within ±2 years, 4) omit measurement-error correction to show bias direction, 5) IV specification if credible instrument is available. Evaluation: compare treatment effect magnitudes and significance across estimators and ablations; report heterogeneity by ownership (family vs non-family) and by AUD_QINDEX terciles. </w:t>
      </w:r>
    </w:p>
    <w:p>
      <w:r>
        <w:t xml:space="preserve"> </w:t>
      </w:r>
    </w:p>
    <w:p>
      <w:pPr>
        <w:pStyle w:val="Heading2"/>
      </w:pPr>
      <w:r>
        <w:t>Risk Factors And Limitations</w:t>
      </w:r>
    </w:p>
    <w:p>
      <w:r>
        <w:t>1. Measurement error: misclassification of military background or appointment year can bias estimates; adjudication sample may not capture all error modes. 2. Auditor-choice endogeneity: if auditor assignment correlates with unobserved governance quality, control-function or IV may fail to fully remove bias. 3. Limited power in subsamples: rarer events (Big4 subsample, high-confidence MIL cases) may yield imprecise estimates. 4. Omitted time-varying confounders: unobserved shocks correlated with military appointments (policy changes, state contracts) can bias causal claims. 5. Generalizability: results apply to non-financial Pakistani firms 2010–2022 and may not hold in other countries or financial sectors. 6. Data access and legal limits: restricted or redacted sources and privacy rules may prevent full public release of the MIL roster. 7. Method sensitivity: staggered-adoption estimators rely on parallel trends and correct specification of treatment timing; violations reduce validity. 8. Computational and reproducibility limits: extensive bootstrapping, SIMEX, and MI within large panels increase compute time and complexity of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