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saudi_elt_math_21cs_integration</w:t>
      </w:r>
    </w:p>
    <w:p>
      <w:r>
        <w:t xml:space="preserve"> </w:t>
      </w:r>
    </w:p>
    <w:p>
      <w:pPr>
        <w:pStyle w:val="Heading2"/>
      </w:pPr>
      <w:r>
        <w:t>Title</w:t>
      </w:r>
    </w:p>
    <w:p>
      <w:r>
        <w:t>A sequential exploratory mixed-methods study of English and mathematics teachers' integration of 21st century skills in Saudi classrooms</w:t>
      </w:r>
    </w:p>
    <w:p>
      <w:r>
        <w:t xml:space="preserve"> </w:t>
      </w:r>
    </w:p>
    <w:p>
      <w:pPr>
        <w:pStyle w:val="Heading2"/>
      </w:pPr>
      <w:r>
        <w:t>Short Hypothesis</w:t>
      </w:r>
    </w:p>
    <w:p>
      <w:r>
        <w:t>Greater teacher access to targeted professional development and instructional resources causes higher observed integration of creativity, collaboration, critical thinking, and communication in English and mathematics classroom instruction.</w:t>
      </w:r>
    </w:p>
    <w:p>
      <w:r>
        <w:t xml:space="preserve"> </w:t>
      </w:r>
    </w:p>
    <w:p>
      <w:pPr>
        <w:pStyle w:val="Heading2"/>
      </w:pPr>
      <w:r>
        <w:t>Related Work</w:t>
      </w:r>
    </w:p>
    <w:p>
      <w:r>
        <w:t>Prior work has used surveys, classroom observations, and interviews to document teacher attempts to integrate 21st-century skills in language and mathematics teaching. Existing approaches often rely on self-report surveys or small observational samples, lack harmonized domain-sensitive rubrics, and do not consistently apply modern psychometric methods (e.g., confirmatory factor analysis or item response models) to validate instruments. Studies frequently omit detailed language or translanguaging coding, limiting insight into how bilingual practices affect skill enactment. Many prior efforts are limited by small, non-stratified samples, weak inter-rater reliability protocols, minimal invariance testing across subject and region, and little triangulation with student learning artifacts. These gaps leave unresolved questions about measurement validity, generalizability across regions and gender-segregated contexts, and the causal role of training and resources on observed instructional behaviors.</w:t>
      </w:r>
    </w:p>
    <w:p>
      <w:r>
        <w:t xml:space="preserve"> </w:t>
      </w:r>
    </w:p>
    <w:p>
      <w:pPr>
        <w:pStyle w:val="Heading2"/>
      </w:pPr>
      <w:r>
        <w:t>Abstract</w:t>
      </w:r>
    </w:p>
    <w:p>
      <w:r>
        <w:t>This study examines how English and mathematics teachers in Saudi Arabia integrate four 21st-century skills—creativity, collaboration, critical thinking, and communication—into classroom instruction, and identifies the main barriers to integration. We use a sequential exploratory mixed-methods design: classroom observations and semi-structured interviews produce behavioral indicators and survey items; a pilot refines instruments; and a large field survey and multilevel coded observations test patterns across regions, school types, and gender contexts. Main contributions are (1) a validated 4-point observation rubric with domain-specific anchors, (2) a psychometrically evaluated teacher survey developed from teacher interviews, and (3) multilevel models linking teacher supports (professional development, resources, translanguaging practices) to observed instructional behaviors and short-term student learning artifacts. Expected outcomes include robust measurement tools, evidence on primary implementation barriers, and policy-relevant estimates of how PD and resources affect enacted 21st-century skills in Saudi classrooms.</w:t>
      </w:r>
    </w:p>
    <w:p>
      <w:r>
        <w:t xml:space="preserve"> </w:t>
      </w:r>
    </w:p>
    <w:p>
      <w:pPr>
        <w:pStyle w:val="Heading2"/>
      </w:pPr>
      <w:r>
        <w:t>Methodology</w:t>
      </w:r>
    </w:p>
    <w:p>
      <w:r>
        <w:t>Phase 1 — Qualitative fieldwork and item generation: Conduct 8–12 pilot lessons and 20–30 semi-structured interviews across regions and school types. Observe lessons and micro-code teacher moves for the four skills and language use (Arabic, English, mixed). Produce behavioral indicators and draft 80–120 survey items. (Micro-code: label each teacher utterance by language and function; translanguaging types: translation, L1 scaffolding, hybrid explanation.)</w:t>
        <w:br/>
        <w:br/>
        <w:t>Phase 2 — Expert review and cognitive interviews: Convene an expert panel to compute content validity and pare items. Run cognitive interviews with ~12 teachers across strata to check clarity and cultural fit. Translate items Arabic↔English with back-translation.</w:t>
        <w:br/>
        <w:br/>
        <w:t>Phase 3 — Pilot and instrument refinement: Pilot the observation rubric and survey with ~50–100 teachers and 8–12 lessons; train coders in a two-day workshop using anchored vignettes and video practice. Compute inter-rater reliability (weighted kappa or ICC) and revise anchors.</w:t>
        <w:br/>
        <w:br/>
        <w:t>Phase 4 — Field data collection: Stratified two-stage sampling (regions × urban/rural × public/private × gender-context). Target observational sample: 60 teachers × 3 lessons each (pilot contingency to 120 teachers if needed). Target survey: 500 completed responses (invite ≈625). Collect student pre/post short assessments and artifacts aligned to curriculum.</w:t>
        <w:br/>
        <w:br/>
        <w:t>Phase 5 — Psychometric analysis: Use confirmatory factor analysis (CFA) to test factor structure (CFA fit indices: CFI/TLI, RMSEA, SRMR) and graded-response item response theory (IRT) to estimate item discrimination and threshold ordering. Test measurement invariance across subject, region, and gender. IRT: graded-response model estimates how well items separate teachers with different trait levels.</w:t>
        <w:br/>
        <w:br/>
        <w:t>Phase 6 — Inferential models: Fit multilevel models (lessons nested in teachers nested in schools) to estimate effects of PD hours, resource index, and translanguaging proportions on observed rubric scores and student pre/post gains. Report variance components (ICC: intra-class correlation) and cross-level interactions. All technical terms: CFA = confirmatory factor analysis, a statistical test of how well observed items match expected factors; IRT = item response theory, a model describing item performance across trait levels; ICC = measure of how much variance is at grouped levels (e.g., teacher).</w:t>
      </w:r>
    </w:p>
    <w:p>
      <w:r>
        <w:t xml:space="preserve"> </w:t>
      </w:r>
    </w:p>
    <w:p>
      <w:pPr>
        <w:pStyle w:val="Heading2"/>
      </w:pPr>
      <w:r>
        <w:t>Experiments</w:t>
      </w:r>
    </w:p>
    <w:p>
      <w:r>
        <w:t>Datasets: (A) Coded classroom observations (video-coded rubric scores per lesson, language-use turns), expected ~180 lessons from 60 teachers (contingency: 360 lessons from 120 teachers). (B) Semi-structured interview transcripts and coded themes. (C) Teacher survey, N ≈ 500 completed. (D) Student short pre/post assessments and scored artifacts (per observed lesson).</w:t>
        <w:br/>
        <w:br/>
        <w:t>Baselines: (1) teacher self-report only (survey scales without observation), (2) uncalibrated simple rubric (no psychometric refinement), (3) model excluding language/translanguaging predictors.</w:t>
        <w:br/>
        <w:br/>
        <w:t>Evaluation metrics: observation rubric mean scores per skill (0–3), inter-rater reliability (weighted kappa or ICC), CFA fit indices (CFI, TLI, RMSEA, SRMR), IRT discrimination (a) and threshold parameters, reliability (omega), multilevel variance components (ICC), student effect sizes (Cohen's d for pre/post), model RMSE, and statistical significance of predictors (p-values, confidence intervals).</w:t>
        <w:br/>
        <w:br/>
        <w:t>Experimental setup: 1) Pilot: run pilot with 8–12 lessons and 6 teachers to refine rubric and coder training; compute IRR target ≥ .70 weighted kappa or ICC ≥ .75. 2) Field: stratified two-stage sampling across five regions; collect 3 lessons per teacher and surveys from teachers in sampled schools. 3) Psychometric tests: run CFA on pilot then full survey; run IRT graded-response model; test invariance across subject and region (configural, metric, scalar). 4) Main inference: fit multilevel linear mixed models predicting rubric scores and student gains from PD hours, resource index, translanguaging %, controlling for teacher experience and class size. 5) Ablation studies: (A) remove translanguaging predictor and compare model fit and coefficients; (B) compare outcomes using observation scores vs self-report as predictors; (C) compare results using N=60 vs simulated N=120 to assess subgroup power. 6) Sensitivity: run multiple imputation (MICE, m=50) for missing survey data and run MNAR pattern-mixture sensitivity analyses. 7) Reporting: report effect sizes, confidence intervals, CFA/IRT parameters, DIF findings, and pre-registered primary hypotheses.</w:t>
      </w:r>
    </w:p>
    <w:p>
      <w:r>
        <w:t xml:space="preserve"> </w:t>
      </w:r>
    </w:p>
    <w:p>
      <w:pPr>
        <w:pStyle w:val="Heading2"/>
      </w:pPr>
      <w:r>
        <w:t>Risk Factors And Limitations</w:t>
      </w:r>
    </w:p>
    <w:p>
      <w:r>
        <w:t>Sample size and subgroup power: 60 teachers may be underpowered to detect small effects or to support detailed subgroup/invariance tests; increasing to 120 raises cost and logistics. Rater reliability: achieving and maintaining high inter-rater reliability is challenging; drift can bias observation scores. Nonresponse and selection bias: teacher survey nonresponse may bias estimates and complicate weighting adjustments. Measurement invariance: items may not be scalar-invariant across subject, region, or gender, limiting comparisons. Reactivity: teachers may change behavior when observed (Hawthorne effect), and three lessons may not fully remove reactivity. Translanguaging coding complexity: fine-grained language coding is time-consuming and may introduce coder inconsistency. Administrative access delays: MoE approvals and gender-segregated logistics can delay fieldwork. Generalizability: findings are specific to Saudi curricula and cultural contexts and may not generalize to other countries. Resource limits: transcription, video storage, and trained coders require budget and secure infrastructure; insufficient resources may reduce data quality.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