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social_capital_digilit_ses_heaccess</w:t>
      </w:r>
    </w:p>
    <w:p>
      <w:r>
        <w:t xml:space="preserve"> </w:t>
      </w:r>
    </w:p>
    <w:p>
      <w:pPr>
        <w:pStyle w:val="Heading2"/>
      </w:pPr>
      <w:r>
        <w:t>Title</w:t>
      </w:r>
    </w:p>
    <w:p>
      <w:r>
        <w:t>Multilevel structural equation modeling of social capital, digital literacy, and socioeconomic status effects on higher education access in China</w:t>
      </w:r>
    </w:p>
    <w:p>
      <w:r>
        <w:t xml:space="preserve"> </w:t>
      </w:r>
    </w:p>
    <w:p>
      <w:pPr>
        <w:pStyle w:val="Heading2"/>
      </w:pPr>
      <w:r>
        <w:t>Short Hypothesis</w:t>
      </w:r>
    </w:p>
    <w:p>
      <w:r>
        <w:t>Higher levels of bridging and linking social capital increase the probability of enrollment in higher education among Chinese high school graduates, and this causal effect is mediated by information uptake and self-efficacy and moderated by individual digital literacy and socioeconomic status.</w:t>
      </w:r>
    </w:p>
    <w:p>
      <w:r>
        <w:t xml:space="preserve"> </w:t>
      </w:r>
    </w:p>
    <w:p>
      <w:pPr>
        <w:pStyle w:val="Heading2"/>
      </w:pPr>
      <w:r>
        <w:t>Related Work</w:t>
      </w:r>
    </w:p>
    <w:p>
      <w:r>
        <w:t>Existing research shows social capital and digital literacy are correlated with higher education access, and regression-based studies find stronger effects of alumni/teacher (linking) ties and nonfamily (bridging) networks for elite entry. Studies of the digital divide show differential online access and skills amplify educational inequality. Limitations of prior approaches include reliance on observed indicator regressions without latent-variable measurement, limited multilevel treatment of students nested in schools/provinces, weak causal identification (few robust IVs or formal sensitivity bounds), inadequate handling of measurement invariance across regions, incomplete missing-data sensitivity (MNAR), and underpowered tests for interactions and mediation in small clustered samples.</w:t>
      </w:r>
    </w:p>
    <w:p>
      <w:r>
        <w:t xml:space="preserve"> </w:t>
      </w:r>
    </w:p>
    <w:p>
      <w:pPr>
        <w:pStyle w:val="Heading2"/>
      </w:pPr>
      <w:r>
        <w:t>Abstract</w:t>
      </w:r>
    </w:p>
    <w:p>
      <w:r>
        <w:t>This study examines how social capital shapes Chinese high school graduates' access to higher education and how digital literacy and socioeconomic status (SES) interact with social capital to influence enrollment. Using survey data (n=629) from western, central, and eastern provinces, we combine measurement models and multilevel structural equation models (MSEM) to estimate latent bonding, bridging, and linking capital, and a three-part digital literacy construct (access, technical skill, critical appraisal). We test mediation pathways (social capital → information uptake/self-efficacy → application/enrollment) and pre-specified moderation (digital literacy × bridging; SES × linking). We implement multiple imputation, measurement-invariance testing across regions, multilevel logistic outcome models, IV robustness checks, selection-correction models for application/admission stages, and Monte-Carlo power simulations. The main contribution is a reproducible, preregistered pipeline that integrates latent measurement, clustered causal inference, and sensitivity analyses, producing interpretable estimates and bounds for policy-relevant effects on enrollment disparities across Chinese regions.</w:t>
      </w:r>
    </w:p>
    <w:p>
      <w:r>
        <w:t xml:space="preserve"> </w:t>
      </w:r>
    </w:p>
    <w:p>
      <w:pPr>
        <w:pStyle w:val="Heading2"/>
      </w:pPr>
      <w:r>
        <w:t>Methodology</w:t>
      </w:r>
    </w:p>
    <w:p>
      <w:r>
        <w:t>1) Sampling and data: use stratified multistage cluster sampling of high school graduates across eastern, central, and western provinces; target ~30–50 schools and total n≈629. 2) Measurement: collect name-generator items (5–7 alters) for bonding/bridging/linking; digital literacy items in three subdomains (access, technical skill, critical appraisal) including short task vignettes; SES multi-item index (education, occupation, wealth, hukou, migrant status). 3) Measurement models: run confirmatory factor analysis (CFA) and, if helpful, item response theory (IRT) to form latent scores. Test configural, metric, and scalar invariance across regions; allow partial invariance using anchored items. (Configural = same factor pattern; metric = equal loadings; scalar = equal intercepts.) 4) Missing data: apply multilevel multiple imputation (20 imputations) including auxiliary variables; in each imputed set estimate CFA and derive factor scores then pool results (Rubin’s rules). 5) Main modeling: estimate three-level models (students in schools in provinces) with random intercepts; implement MSEM for mediation (latent social capital → information uptake/self-efficacy → enrollment) and moderation tests (product terms for digital literacy × bridging, SES × linking). 6) Causal checks: preregister candidate instruments (e.g., county broadband rollout timing, phased outreach dates, alumni density), report first-stage F, overidentification tests, and compute partial-identification bounds (e.g., Lee or Conley-style bounds) if exclusion is doubtful. 7) Selection correction: predefine Heckman or bivariate probit for application→admission stages and IPW alternatives. 8) Inference and robustness: use bootstrap (≥2000 draws) for indirect CIs, or Bayesian MSEM with weakly informative priors to stabilize small-cluster estimates; propagate design weights and compute replicate weights for SEs. 9) Pre-registration: register primary outcome (enrollment), two prespecified interactions, MI and invariance decisions, IVs, and sensitivity grids for MNAR and measurement error.</w:t>
      </w:r>
    </w:p>
    <w:p>
      <w:r>
        <w:t xml:space="preserve"> </w:t>
      </w:r>
    </w:p>
    <w:p>
      <w:pPr>
        <w:pStyle w:val="Heading2"/>
      </w:pPr>
      <w:r>
        <w:t>Experiments</w:t>
      </w:r>
    </w:p>
    <w:p>
      <w:r>
        <w:t>Dataset: primary survey n=629 stratified across eastern, central, western provinces, sampled in ~30–50 schools; include auxiliary paradata (device type, response time), school-level outreach logs, and available prior-achievement proxies. Baselines: (A) naive logistic regression on observed indicators; (B) multilevel logistic model with observed indicators; (C) multilevel model with latent-factor scores; (D) MSEM without moderators; (E) MSEM with prespecified moderators; (F) IV two-stage models and selection-corrected models (Heckman or bivariate probit). Evaluation metrics: primary effect sizes reported as odds ratios and average marginal effects with 95% CI or 95% credible intervals; model fit for CFA/SEM: CFI, RMSEA, SRMR; mediation: bootstrap indirect-effect CI and proportion mediated; predictive: AUC and calibration; IV diagnostics: first-stage F-statistic (&gt;10 threshold), overidentification p-value, and weak-IV robust CIs; sensitivity: E-values for unmeasured confounding and Conley bounds for plausible direct-IV effects; MNAR: pattern-mixture delta grid and tipping-point identification. Experimental setup: perform 20 multiple imputations; run CFA invariance tests with ΔCFI ≤0.01 and ΔRMSEA ≤0.015 thresholds; estimate MSEM for binary enrollment with clustered robust SEs and bootstrap (2000 resamples) for indirect effects; run Bayesian MSEM with weak Normal(0,1) priors for slopes as a robustness check; produce replicate-weight variance estimates via jackknife over clusters. Ablation study: compare full MSEM (latent measures + digital literacy moderator) versus (i) no digital literacy moderator, and (ii) using observed summed indicators instead of latent scores; report changes in main coefficients, fit, and mediation estimates. Power calibration: run Monte-Carlo simulations varying ICC={0.01,0.05,0.10}, cluster_count={30,40,50}, and effect sizes to document minimum detectable effects for main, interaction, and mediation paths.</w:t>
      </w:r>
    </w:p>
    <w:p>
      <w:r>
        <w:t xml:space="preserve"> </w:t>
      </w:r>
    </w:p>
    <w:p>
      <w:pPr>
        <w:pStyle w:val="Heading2"/>
      </w:pPr>
      <w:r>
        <w:t>Risk Factors And Limitations</w:t>
      </w:r>
    </w:p>
    <w:p>
      <w:r>
        <w:t>1) Sample and power: n≈629 with limited cluster counts may be underpowered for small interactions and weak mediation; results for interactions may be unstable. 2) IV validity: candidate instruments (broadband rollout, outreach timing, alumni density) may violate exclusion restrictions or be poorly measured, producing biased IV estimates. 3) Measurement error: name-generator recall, social-desirability, and task timing may bias social-capital and digital-literacy measures; latent scoring depends on invariance holding. 4) Missing data: nonignorable (MNAR) patterns could alter conclusions despite sensitivity grids. 5) Selection bias: unobserved ability or motivation may confound social capital effects and selection models may require exclusion restrictions that are unavailable. 6) Regional heterogeneity: cultural and policy differences across provinces limit generalization beyond sampled regions. 7) Data access and ethics: gaokao subscores, telecom rollout maps, or alumni registries may be unavailable or restricted. 8) Computational: MSEM, Bayesian estimation, and bootstrap on clustered data are computationally intensive and may require high compute time. 9) Reporting limits: Chinese data governance may restrict data sharing, reducing reproducibility of raw-data dependent checks.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