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chatgpt4_student_prompt_texts_reading_intervention</w:t>
      </w:r>
    </w:p>
    <w:p>
      <w:r>
        <w:t xml:space="preserve"> </w:t>
      </w:r>
    </w:p>
    <w:p>
      <w:pPr>
        <w:pStyle w:val="Heading2"/>
      </w:pPr>
      <w:r>
        <w:t>Title</w:t>
      </w:r>
    </w:p>
    <w:p>
      <w:r>
        <w:t>Using ChatGPT-4 to generate leveled texts from 4th-grade student prompts to improve reading comprehension, fluency, and motivation: a classroom-randomized Solomon four-group mixed-method study</w:t>
      </w:r>
    </w:p>
    <w:p>
      <w:r>
        <w:t xml:space="preserve"> </w:t>
      </w:r>
    </w:p>
    <w:p>
      <w:pPr>
        <w:pStyle w:val="Heading2"/>
      </w:pPr>
      <w:r>
        <w:t>Short Hypothesis</w:t>
      </w:r>
    </w:p>
    <w:p>
      <w:r>
        <w:t>Providing 4th-grade students with ChatGPT-4 generated texts created from their own prompts increases standardized reading comprehension scores compared with control conditions.</w:t>
      </w:r>
    </w:p>
    <w:p>
      <w:r>
        <w:t xml:space="preserve"> </w:t>
      </w:r>
    </w:p>
    <w:p>
      <w:pPr>
        <w:pStyle w:val="Heading2"/>
      </w:pPr>
      <w:r>
        <w:t>Related Work</w:t>
      </w:r>
    </w:p>
    <w:p>
      <w:r>
        <w:t>Prior work tests AI-assisted reading supports, human-authored leveled texts, and scaffolded reading interventions. Existing approaches either (1) use fixed teacher-created leveled passages or (2) apply automated text generation without student-authored prompts. Limitations include limited personalization, weak reporting on fidelity and teacher edits, insufficient validation of automated readability against human judgments, and underpowered cluster-aware analyses in classroom trials. Mixed-method studies show promise for motivation gains but often lack rigorous logging of model versions, edit histories, and objective checks for hallucination or bias. Small numbers of clusters and incomplete pre-specification of primary measures reduce reliability of causal claims in prior trials.</w:t>
      </w:r>
    </w:p>
    <w:p>
      <w:r>
        <w:t xml:space="preserve"> </w:t>
      </w:r>
    </w:p>
    <w:p>
      <w:pPr>
        <w:pStyle w:val="Heading2"/>
      </w:pPr>
      <w:r>
        <w:t>Abstract</w:t>
      </w:r>
    </w:p>
    <w:p>
      <w:r>
        <w:t>This study tests whether texts generated by ChatGPT-4 from 4th-grade students' own prompts can improve reading comprehension, oral reading fluency, and reading motivation. We implement a classroom-randomized Solomon four-group design and a complementary qualitative case study. The intervention pipeline enforces safe prompts (no personal data), generates three leveled variants per student prompt (baseline, grade, challenge), applies automated safety/readability checks, logs model versions and edits, and routes flagged outputs to human review. Primary outcome is a standardized reading comprehension posttest; secondary outcomes are words correct per minute (WCPM), vocabulary checks, prosody ratings, and a motivation questionnaire. Main contribution is an integrated, reproducible protocol linking prompt engineering, automated and human validation (n=50 text validation), fidelity logging, and cluster-aware statistical analysis. Expected outcome is evidence on whether student-prompted AI texts produce measurable reading gains and clearer understanding of fidelity, teacher edits, and equity effects for English learners.</w:t>
      </w:r>
    </w:p>
    <w:p>
      <w:r>
        <w:t xml:space="preserve"> </w:t>
      </w:r>
    </w:p>
    <w:p>
      <w:pPr>
        <w:pStyle w:val="Heading2"/>
      </w:pPr>
      <w:r>
        <w:t>Methodology</w:t>
      </w:r>
    </w:p>
    <w:p>
      <w:r>
        <w:t>1) Design and randomization: Randomize at the classroom level into four Solomon arms (A: pretest+treatment, B: pretest+control, C: treatment only, D: control only). A classroom is the unit of randomization to avoid teacher spillover. 2) Prompt pipeline: Teachers collect student prompts using a template that forbids PII. For each prompt, generate three variants with ChatGPT-4: baseline (easier), grade-level, and challenge (harder). Record system and user prompts, model version, temperature and sampling settings, generation UUID, timestamp, token usage, and raw outputs. 3) Automated checks: Run PII detector, toxicity/stereotype flags, factual-claim detector, and readability metrics (Lexile estimate and Flesch). Explain: Lexile is an automated score estimating text difficulty; Flesch is a readability index using sentence and word length. 4) Human-in-loop: Auto-regenerate up to two times when checks fail. If still flagged, route to a trained reviewer (teacher or RA) who edits or rejects. Log original and final texts, editor role, edit reason, and compute normalized Levenshtein edit-distance (a measure of text change) between versions. 5) Validation: Create a stratified n=50 validation set of AI-generated texts (by prompt complexity, EL status, and school). Two trained human raters assign grade-band/readability; require interrater ICC &gt;= 0.80 before using human means. Compare automated metrics to human ratings (target Pearson r &gt;= 0.70). 6) Fidelity and exposure: Define a treated student as attendance &gt;=70% of sessions plus classroom fidelity &gt;=80% on observed sessions. Log continuous dose: sessions attended, minutes engaged, percent sessions using final AI text. 7) Measures and raters: Use a standardized comprehension test (e.g., GMRT Grade 4 or equivalent), ORF WCPM probes, vocabulary checks, Multidimensional Fluency Scale (1-4) for prosody, and a Grade-4 adapted Motivation for Reading Questionnaire (MRQ). Train raters to ICC targets (prosody ICC &gt;= 0.75). 8) Analysis plan: Primary analysis is an intent-to-treat multilevel ANCOVA (linear mixed model, LMM) predicting posttest with fixed effects: Treatment, PretestIndicator, Treatment×Pretest, covariates (age, sex, SES, EL), and random intercepts for class and school. Explain: LMM is a regression that models nested data (students in classes). Use REML estimation and Kenward–Roger df adjustments where cluster counts are adequate. 9) Missing data: Use multilevel multiple imputation (two-level FCS) respecting nesting and auxiliary predictors; set m (number of imputations) at least equal to percent missing, e.g., m=40 if missing ~40%. 10) Robustness: If clusters are few, prespecify small-cluster inference methods (wild cluster bootstrap, randomization/permutation tests, and cluster-level analyses). 11) CACE and dose-response: Estimate complier average causal effect (CACE) using assignment as instrument for exposure; define exposure via attendance and use IV diagnostics (first-stage F, compliance rate). 12) Qualitative integration: Run classroom observations, think-alouds, and interviews for 6–12 cases; analyze themes, produce joint displays linking fidelity and outcomes. 13) Reproducibility: Archive deidentified prompt templates, model settings, generation logs, final texts, analysis code, and validation data per IRB/district rules.</w:t>
      </w:r>
    </w:p>
    <w:p>
      <w:r>
        <w:t xml:space="preserve"> </w:t>
      </w:r>
    </w:p>
    <w:p>
      <w:pPr>
        <w:pStyle w:val="Heading2"/>
      </w:pPr>
      <w:r>
        <w:t>Experiments</w:t>
      </w:r>
    </w:p>
    <w:p>
      <w:r>
        <w:t>1) Participants and sampling: Use existing two-school sample (N=106) as current scenario and simulated larger scenarios (N≈160–220 and N≈300–450) for power studies. Classroom counts and sizes recorded exactly. 2) Trial arms: Solomon four-group at classroom level (A,B,C,D). Intervention duration: 8 weeks. Timing: pretest (for pretest arms) one week before start, immediate posttest within one week after end, delayed retention posttest at 8 weeks post-intervention. 3) Datasets: Primary data are student assessment scores, ORF recordings, prosody ratings, MRQ responses, session logs, generation logs, and edit records. Validation dataset: n=50 stratified AI-generated texts with two human readability raters. 4) Baselines: (i) control (business-as-usual reading instruction), (ii) teacher-created leveled texts matched for length and topic, (iii) AI-generated texts without student prompts (standard prompts). 5) Evaluation metrics: Primary: standardized comprehension posttest score (mean difference, standardized effect size d). Secondary: ORF WCPM (words correct per minute), vocabulary item accuracy (% correct), prosody rubric mean score, MRQ subscale scores. Additional metrics: ICCs (intra-class correlation), interrater ICC for raters, Pearson r between automated readability and human grade-band, normalized Levenshtein edit-distance, compliance rate, and teacher review time per text. 6) Statistical tests and models: Primary: multilevel ANCOVA (LMM) with REML; report adjusted means, β1 ITT estimate, 95% CI, standardized effect size, and p-value. Multiple-comparison control: treat comprehension as primary family; apply Holm correction for pre-specified secondary confirmatory tests. Missing data: multilevel multiple imputation (m=40). Robustness: run wild cluster bootstrap, permutation tests, and cluster-level collapsed ANCOVA when cluster counts are small. 7) CACE analysis: Two-stage least squares at student level with assignment instrumenting exposure; report first-stage F and compliance. 8) Ablations and comparisons: (A) Compare AI-from-student-prompts vs teacher-created texts vs AI-from-generic-prompts. (B) Ablate teacher edits: compare student outcomes for unedited AI texts, teacher-edited texts, and heavy-edited texts (edit-distance &gt;0.25). (C) Scaffold ablation: compare texts with prosodic/visual scaffolds vs plain text. (D) Power/pilot simulation ablation: Monte Carlo simulations varying ICC (0.01–0.10), pretest correlation (r=0.4–0.8), and cluster counts to produce MDEs for current N=106 and larger scenarios. 9) Rater and validation procedures: Train two human readability raters on anchor set; require ICC&gt;=0.80. For prosody, train raters to ICC&gt;=0.75. Compute Pearson r between automated readability (Lexile/Flesch) and human mean; report confusion matrix by grade-band. 10) Pre-specified subgroup analyses: EL vs non-EL, baseline reading tier (low/medium/high), fidelity strata (&gt;=80% vs &lt;80%), and school. 11) Execution details: Randomization via blocked stratified algorithm; observers blind to primary hypothesis where feasible; log all model versions and edits. 12) Outcome reporting: Report ITT primary result, per-protocol, CACE, and detailed fidelity and edit analyses.</w:t>
      </w:r>
    </w:p>
    <w:p>
      <w:r>
        <w:t xml:space="preserve"> </w:t>
      </w:r>
    </w:p>
    <w:p>
      <w:pPr>
        <w:pStyle w:val="Heading2"/>
      </w:pPr>
      <w:r>
        <w:t>Risk Factors And Limitations</w:t>
      </w:r>
    </w:p>
    <w:p>
      <w:r>
        <w:t>1) Underpowered sample: With 106 students and few clusters, the study may lack power to detect small effects under cluster randomization; small cluster counts impair accuracy of standard mixed-model inference. 2) Small-cluster inference limits: Kenward–Roger adjustments may be invalid with very few clusters; permutation and bootstrap methods have limited precision with tiny cluster counts. 3) Teacher workload and fidelity: High teacher review time could reduce adherence or change implementation in ways that bias results. 4) AI hallucinations and bias: Generated texts may contain factual errors, stereotypes, or harmful content that automated checks miss. 5) Edit-logging fidelity: Incomplete or inconsistent logging of teacher edits will limit ability to analyze dose and content changes. 6) Validation sample size: n=50 text validation may not cover full prompt complexity or rare failure modes. 7) Measurement error: ORF and prosody ratings depend on rater reliability; low ICCs reduce outcome sensitivity. 8) Missing data: High student absenteeism or attrition can complicate imputations and causal estimates. 9) Generalization: Results from two public schools and 4th graders may not generalize to other grades, regions, or languages. 10) Compute and operational limits: Real-time generation, safety checks, and human review require operational bandwidth; scaling to many classrooms increases latency and cost. 11) Privacy and consent constraints: Student-authored prompts may contain PII despite instructions; removal and storage policies may restrict reproducible archival of prompts. 12) Ethical risk: Delivering flagged content before review could harm students; human review delays may degrade classroom flow.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