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fuzzy_pa_west_taiwan</w:t>
      </w:r>
    </w:p>
    <w:p>
      <w:r>
        <w:t xml:space="preserve"> </w:t>
      </w:r>
    </w:p>
    <w:p>
      <w:pPr>
        <w:pStyle w:val="Heading2"/>
      </w:pPr>
      <w:r>
        <w:t>Title</w:t>
      </w:r>
    </w:p>
    <w:p>
      <w:r>
        <w:t>Applying fuzzy distinction control with AIS and marine GIS to design precautionary areas for offshore wind farms on Taiwan's western coast</w:t>
      </w:r>
    </w:p>
    <w:p>
      <w:r>
        <w:t xml:space="preserve"> </w:t>
      </w:r>
    </w:p>
    <w:p>
      <w:pPr>
        <w:pStyle w:val="Heading2"/>
      </w:pPr>
      <w:r>
        <w:t>Short Hypothesis</w:t>
      </w:r>
    </w:p>
    <w:p>
      <w:r>
        <w:t>A fuzzy-logic model that fuses AIS-derived traffic density, ecological sensitivity, and hydrodynamic variability will produce precautionary area classifications that reduce Core PA overlap with High/Critical ecological sensitivity by at least 70% versus a static buffer baseline while maintaining encounter-risk detection AUC ≥ 0.85.</w:t>
      </w:r>
    </w:p>
    <w:p>
      <w:r>
        <w:t xml:space="preserve"> </w:t>
      </w:r>
    </w:p>
    <w:p>
      <w:pPr>
        <w:pStyle w:val="Heading2"/>
      </w:pPr>
      <w:r>
        <w:t>Related Work</w:t>
      </w:r>
    </w:p>
    <w:p>
      <w:r>
        <w:t>Existing approaches combine AIS-based traffic analysis, kernel density estimation (KDE), geographic information systems (GIS), and fuzzy logic to support offshore wind farm siting and precautionary zoning. Typical pipelines use KDE or fixed buffers to locate high-traffic corridors and overlay static ecological sensitivity maps to avoid sensitive areas. Prior methods often apply ad-hoc fuzzy rules without systematic uncertainty propagation, use single-resolution grids, and lack explicit encounter/collision-risk formulas tied to vessel size and CPA/TCPA (closest point/ time of approach). Limitations include inadequate handling of AIS biases (non-reporting, spoofing), limited integration of metocean/hydrodynamic variability, sparse validation against independent VTS/radar or incident logs, and few reproducible calibration procedures for membership functions or rule weights. These gaps reduce regulatory defensibility and operational readiness.</w:t>
      </w:r>
    </w:p>
    <w:p>
      <w:r>
        <w:t xml:space="preserve"> </w:t>
      </w:r>
    </w:p>
    <w:p>
      <w:pPr>
        <w:pStyle w:val="Heading2"/>
      </w:pPr>
      <w:r>
        <w:t>Abstract</w:t>
      </w:r>
    </w:p>
    <w:p>
      <w:r>
        <w:t>This study develops and evaluates a reproducible planning model that integrates automatic identification system (AIS) ship data, marine geographic information system (MGIS) layers, metocean indicators, and fuzzy distinction control to define precautionary areas (PA) for offshore wind farms along Taiwan's western coast. The approach normalizes traffic density, ecological sensitivity, and hydrodynamic variability into 0–1 indices, computes an explicit encounter-risk metric per vessel pair, and applies a hybrid fuzzy inference system (Sugeno for optimization, Mamdani for reporting) to produce Core, Dynamic, and Advisory PA classifications with per-cell uncertainty. Main contributions are (1) a documented canonical rule bank and seed membership functions, (2) Monte Carlo uncertainty propagation from AIS and metocean inputs to PA-score credible intervals, and (3) a validation suite using VTS/radar proxies and hold-out AIS months. Expected outcomes include measurable reduction in ecological overlap with Core zones and quantifiable PA stability under data and parameter perturbations, enabling auditable, stakeholder-informed PA recommendations for wind farm operations and permitting.</w:t>
      </w:r>
    </w:p>
    <w:p>
      <w:r>
        <w:t xml:space="preserve"> </w:t>
      </w:r>
    </w:p>
    <w:p>
      <w:pPr>
        <w:pStyle w:val="Heading2"/>
      </w:pPr>
      <w:r>
        <w:t>Methodology</w:t>
      </w:r>
    </w:p>
    <w:p>
      <w:r>
        <w:t>1) Data collection and quality control: gather multi-source AIS (terrestrial + satellite), bathymetry, seasonal ecological sensitivity rasters (ESI), metocean hindcasts (winds, waves, currents), and VTS/radar incident logs. Apply QC: remove invalid MMSI, deduplicate, flag unrealistic speeds/positions, detect probable spoofing, and record coverage maps. 2) AIS preprocessing: gap-interpolate short gaps by class (ferry 3 min, fishing 5 min, cargo 15 min), compute per-cell KDE traffic density. KDE (kernel density estimation) is a way to smooth track points into continuous density; test bandwidths at 0.5×, 1× (Scott), and 2×. 3) Encounter-risk: compute per-CPA/TCPA vessel-pair score ER = Cw * Mw * exp(−(CPA/(k·LOA))^2) * exp(−|TCPA|/Tref) * (1 − exp(−|Vrel|/Vref)). LOA = vessel length, CPA/TCPA measure closeness in space/time, Vrel = relative speed. Cw and Mw are consequence and manoeuvrability weights by size. 4) Normalize inputs to 0–1 and seed membership functions (MFs) for TDI, ESI, HVI, VSR using Gaussian or trapezoid shapes; record parameters in params.yml. 5) Fuzzy inference: implement hybrid FIS—Sugeno (zero-order) for automated calibration of MF parameters and rule weights using Bayesian optimization or CMA-ES; Mamdani versions for stakeholder-facing visualization (centroid defuzzification). 6) Uncertainty propagation: use Latin Hypercube / Monte Carlo (default 2000 samples per cell) sampling positional error, detection probability, KDE bandwidth, and metocean error to obtain PA-score distributions and 90% credible intervals. 7) Calibration and validation: optimize composite loss combining MSE vs incident-proxy, F1 for dangerous classes, and penalty for Core–HighESI overlap; use temporal cross-validation (hold-out months). 8) Outputs: per-cell PA class, PA-score median &amp; CI, uncertainty rasters, provenance logs. Technical term notes: kernel density estimation smooths point data into a density surface; CPA/TCPA are standard collision-approach metrics; membership function (MF) maps an input value to a degree (0–1) of belonging to a fuzzy label (e.g., 'High').</w:t>
      </w:r>
    </w:p>
    <w:p>
      <w:r>
        <w:t xml:space="preserve"> </w:t>
      </w:r>
    </w:p>
    <w:p>
      <w:pPr>
        <w:pStyle w:val="Heading2"/>
      </w:pPr>
      <w:r>
        <w:t>Experiments</w:t>
      </w:r>
    </w:p>
    <w:p>
      <w:r>
        <w:t>Datasets: central-west Taiwan pilot area (Changhua–Yunlin) 50×50 km; 2 years multi-source AIS; bathymetry; seasonal ESI rasters for target species/groups; metocean hindcast hourly fields; VTS/radar incident/near-miss logs for validation. Baselines: (B1) static radial buffer rules (500 m and 1 km around turbines), (B2) KDE-threshold zoning (traffic-only), (B3) deterministic rule-based PA without fuzzy uncertainty. Metrics: Core–HighESI overlap reduction (%) relative to baseline, encounter-risk detection ROC AUC (using VTS/radar proxies), precision/recall for behavior classification, PA-zone stability rate (%) under ±25% parameter perturbations in core areas, PA-score CI width (target ≤0.2), and compute time (CPU hours). Grid and KDE settings: run grid resolutions 250 m, 500 m (default), 1 km; KDE bandwidth factors 0.5, 1 (Scott), 2. Uncertainty and sampling: Monte Carlo / Latin Hypercube 2000 samples per cell. Cross-validation: hold-out months (e.g., 3 non-contiguous months) and event windows (typhoon, construction periods). Ablation studies: A1 remove metocean inputs; A2 remove uncertainty propagation (single deterministic run); A3 replace Sugeno-optimized rule weights with equal weights; A4 compare Sugeno vs Mamdani outputs for decision concordance. Sensitivity scenarios: S1 50% under-reporting of small vessels; S2 doubled satellite revisit gaps; S3 1% spoofing point injection. For each experimental condition run full pipeline and compute all metrics. Report confusion matrices, ROC curves, per-cell PA-score medians and 90% CIs, and runtime/cost estimates for each configuration.</w:t>
      </w:r>
    </w:p>
    <w:p>
      <w:r>
        <w:t xml:space="preserve"> </w:t>
      </w:r>
    </w:p>
    <w:p>
      <w:pPr>
        <w:pStyle w:val="Heading2"/>
      </w:pPr>
      <w:r>
        <w:t>Risk Factors And Limitations</w:t>
      </w:r>
    </w:p>
    <w:p>
      <w:r>
        <w:t>1) AIS data quality: non-reporting of small craft and spoofing can bias traffic and encounter-risk estimates. 2) Validation scarcity: limited or noisy VTS/radar/incident logs may reduce calibration reliability. 3) Model sensitivity: key outputs may be highly sensitive to KDE bandwidth, MF sigmas, and encounter-risk parameters (k, Tref, Vref), producing unstable PA boundaries in transitional cells. 4) Computational cost: Monte Carlo sampling (2000 samples per cell) at high resolution and daily cadence can require significant CPU and memory resources. 5) Generalization: parameter priors and calibrated rules from the pilot area may not transfer to other regions without re-calibration. 6) Legal/operational mapping: PA labels (Advisory/Dynamic/Core) do not by themselves enforce behavior; regulatory implementation depends on external authorities and procedures. 7) Ecological data limits: ESI rasters may have coarse survey coverage or seasonal gaps, producing uncertain ecological inputs. 8) Real-time ops: near-real-time updates may be compromised by data latency (satellite AIS gaps, metocean forecast errors). 9) Interpretation risk: stakeholders may misinterpret fuzzy outputs if uncertainty and provenance are not clearly presented.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