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dance_therapy_rehab_bibliometric</w:t>
      </w:r>
    </w:p>
    <w:p>
      <w:r>
        <w:t xml:space="preserve"> </w:t>
      </w:r>
    </w:p>
    <w:p>
      <w:pPr>
        <w:pStyle w:val="Heading2"/>
      </w:pPr>
      <w:r>
        <w:t>Title</w:t>
      </w:r>
    </w:p>
    <w:p>
      <w:r>
        <w:t>Longitudinal bibliometric mapping of dance therapy in rehabilitation (2000–2024) using co-authorship networks, topic modeling, and emergence scoring</w:t>
      </w:r>
    </w:p>
    <w:p>
      <w:r>
        <w:t xml:space="preserve"> </w:t>
      </w:r>
    </w:p>
    <w:p>
      <w:pPr>
        <w:pStyle w:val="Heading2"/>
      </w:pPr>
      <w:r>
        <w:t>Short Hypothesis</w:t>
      </w:r>
    </w:p>
    <w:p>
      <w:r>
        <w:t>Papers with interdisciplinary co-authorship (authors from two or more distinct disciplines) are more likely to belong to emerging topics than single-discipline papers, as measured by a multivariable logistic regression on topic-emergence labels derived from 2000–2024 literature.</w:t>
      </w:r>
    </w:p>
    <w:p>
      <w:r>
        <w:t xml:space="preserve"> </w:t>
      </w:r>
    </w:p>
    <w:p>
      <w:pPr>
        <w:pStyle w:val="Heading2"/>
      </w:pPr>
      <w:r>
        <w:t>Related Work</w:t>
      </w:r>
    </w:p>
    <w:p>
      <w:r>
        <w:t>Existing bibliometric studies of therapeutic movement and arts-based interventions are limited by single-database coverage, ad hoc disambiguation, and narrow time windows. Prior approaches typically use one topic method (often LDA) or single network measures and report results without reproducible query exports or versioned thesauri. These methods leave unresolved issues: unreliable author/affiliation disambiguation when ORCID is absent, lack of standardized intervention taxonomies (TIDieR) for intervention mapping, limited inclusion of grey literature, and no composite emergence index that combines citation bursts, prevalence growth, novelty, and citation acceleration. Topic labeling and manual validation are often informal, with no inter-rater reliability targets. Network analyses frequently use full counting only and do not report fractional attribution or threshold-sensitivity. Reproducibility and licensing of derived metadata are inconsistently handled across prior work.</w:t>
      </w:r>
    </w:p>
    <w:p>
      <w:r>
        <w:t xml:space="preserve"> </w:t>
      </w:r>
    </w:p>
    <w:p>
      <w:pPr>
        <w:pStyle w:val="Heading2"/>
      </w:pPr>
      <w:r>
        <w:t>Abstract</w:t>
      </w:r>
    </w:p>
    <w:p>
      <w:r>
        <w:t>We present a reproducible, longitudinal bibliometric study that maps research on dance therapy in rehabilitation from 2000 to 2024. Using standardized search queries across Web of Science, Scopus, PubMed, and selected grey-literature repositories, we will produce a deduplicated, provenance-tagged corpus and a versioned master thesaurus aligned to TIDieR fields. We combine author, institution, and country collaboration networks with complementary topic models (LDA, BERTopic, STM) and an Emergence Index that integrates topic prevalence growth, citation acceleration, burst detection, and semantic novelty. Main contributions are: (1) deterministic ORCID-first disambiguation with a documented fallback tree, (2) a reproducible emergence metric for detecting rising themes, and (3) open artifacts (thesaurus, scripts, container) allowing replication. Expected outcomes include validated network maps, temporally sliced topic trajectories, ranked emerging topics, and evidence on whether interdisciplinary co-authorship predicts topic emergence. All non-proprietary artifacts will be published with metadata and a Dockerfile for reuse.</w:t>
      </w:r>
    </w:p>
    <w:p>
      <w:r>
        <w:t xml:space="preserve"> </w:t>
      </w:r>
    </w:p>
    <w:p>
      <w:pPr>
        <w:pStyle w:val="Heading2"/>
      </w:pPr>
      <w:r>
        <w:t>Methodology</w:t>
      </w:r>
    </w:p>
    <w:p>
      <w:r>
        <w:t>1) Data retrieval: run explicit Boolean queries on Web of Science Core Collection, Scopus, PubMed, and ProQuest Dissertations (timespan 2000–2024). Export full metadata fields (title, authors, affiliations, year, abstract, keywords, DOI, ORCID if present, references, language) and record export timestamps and interface names. 2) De-duplication &amp; provenance: dedupe by DOI first; if missing, apply fuzzy title + first-author + year matching (Levenshtein distance). Keep source flags (WoS/Scopus/PubMed/ProQuest) and a provenance log. 3) Controlled vocabulary &amp; TIDieR mapping: build a versioned thesaurus CSV mapping synonyms to canonical modality codes (e.g., DMT, tango, VR-dance) and TIDieR fields (modality, session_count, duration, frequency, facilitator). 4) Author/affiliation disambiguation: ORCID-first resolution; when ORCID absent use deterministic decision tree: normalize name (lowercase, remove diacritics), compare normalized name similarity (Jaro–Winkler &gt;=0.92), compare normalized affiliation ROR match or Levenshtein &lt;=0.10, then apply fractional assignment if ambiguous. 5) Networks: build author, institution, and country graphs with both full and fractional edge counting; compute degree, weighted degree, betweenness, eigenvector centrality, k-core, modularity; detect communities with Louvain/Leiden/Infomap. 6) Topic modeling: run LDA (Gensim) for baseline, BERTopic (SBERT embeddings + HDBSCAN) for semantic topics, and STM to model metadata effects. Set seeds for reproducibility. 7) Emergence Index: compute four components per topic—prevalence_growth (recent slope), citation_acceleration (change in mean citations/doc), burst_score (CiteSpace/Kleinberg normalized), novelty (1 − cosine similarity to prior-period centroid); standardize (z) and combine equally by default. 8) Validation: compute ARI, NMI, VI across partitions, silhouette and NPMI coherence for topics. Perform a stratified manual review (minimum 100 records, at least 10 per cluster) with two annotators to compute Cohen's kappa (target &gt;=0.7). 9) Reproducibility: publish scripts, thesaurus CSV, non-proprietary metadata, and a Dockerfile capturing R/Python environments and seed settings. 10) Documentation: record database names, interfaces, full queries, export field lists, and timestamps in OSF preregistration.</w:t>
      </w:r>
    </w:p>
    <w:p>
      <w:r>
        <w:t xml:space="preserve"> </w:t>
      </w:r>
    </w:p>
    <w:p>
      <w:pPr>
        <w:pStyle w:val="Heading2"/>
      </w:pPr>
      <w:r>
        <w:t>Experiments</w:t>
      </w:r>
    </w:p>
    <w:p>
      <w:r>
        <w:t>Dataset: deduplicated corpus assembled from Web of Science Core Collection, Scopus, PubMed, and ProQuest Dissertations (2000–2024). Provide export logs and field lists. Baselines: (A) WoS-only analysis; (B) no-ORCID disambiguation (simple name-string grouping); (C) LDA-only topic pipeline; (D) full-counting networks only. Primary experiment for hypothesis: label topics as 'emerging' using top 20% EI scores over the last 4 years. Define interdisciplinary co-authorship as papers with authors from &gt;=2 distinct discipline categories (from affiliation mapping). Fit logistic regression: outcome = emerging_label (binary); predictor = interdisciplinary (binary); covariates = publication year, document type, region, number of authors. Report odds ratio, 95% CI, p-value. Correct multiple comparisons across secondary tests using Benjamini-Hochberg FDR. Evaluation metrics: ARI/NMI/VI for cluster agreement, NPMI coherence for topics, MNCS and PPTop10 for citation normalization, precision/recall for disambiguation (from hand-checked n=200 sample). Ablation studies: (1) remove ORCID-first step to measure disambiguation error impact on network centrality lists; (2) switch fractional vs full counting to test effect on top hubs; (3) compare BERTopic vs LDA topic assignments (ARI) and effect on EI ranking. Statistical tests: logistic regression for hypothesis, negative-binomial regression for topic counts over time, permutation tests (n=1000) for stability of EI rankings. Experimental setup: set random seeds (42), run models on a workstation with &gt;=32GB RAM (GPU optional for embeddings), report exact software versions and Docker container. Manual labeling: two annotators, n&gt;=100, compute Cohen's kappa and resolve disagreements by third adjudicator.</w:t>
      </w:r>
    </w:p>
    <w:p>
      <w:r>
        <w:t xml:space="preserve"> </w:t>
      </w:r>
    </w:p>
    <w:p>
      <w:pPr>
        <w:pStyle w:val="Heading2"/>
      </w:pPr>
      <w:r>
        <w:t>Risk Factors And Limitations</w:t>
      </w:r>
    </w:p>
    <w:p>
      <w:r>
        <w:t>1) Incomplete ORCID coverage: many records lack ORCID, increasing disambiguation errors and biasing author-level results. 2) Database coverage bias: WoS/Scopus favor English/high-income journals; inclusion of grey literature may be incomplete and heterogeneous. 3) Language bias: non-English records with missing English abstracts may be excluded or poorly classified. 4) Deduplication errors: fuzzy matching may create false merges or duplicates, affecting counts and networks. 5) Topic model instability: LDA/BERTopic outcomes depend on hyperparameters and embeddings; topic labels may be ambiguous. 6) Emergence index sensitivity: composite EI relies on chosen components and weights and may rank topics differently under alternative specifications. 7) Self-citation and citation lag: new papers have fewer citations, potentially biasing emergence measures toward older but accelerating topics. 8) Manual labeling limits: human review sample sizes may be small relative to corpus and subject to annotator bias. 9) Compute constraints: embedding-based models and large networks require substantial RAM/CPU; limited resources may restrict reproducibility. 10) Licensing and data sharing: raw proprietary exports (WoS/Scopus) cannot be publicly shared, restricting full replication by external users.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