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aesthetic_comparativeness_islam</w:t>
      </w:r>
    </w:p>
    <w:p>
      <w:r>
        <w:t xml:space="preserve"> </w:t>
      </w:r>
    </w:p>
    <w:p>
      <w:pPr>
        <w:pStyle w:val="Heading2"/>
      </w:pPr>
      <w:r>
        <w:t>Title</w:t>
      </w:r>
    </w:p>
    <w:p>
      <w:r>
        <w:t>Interdisciplinary multimodal comparative measurement of aesthetic codes in Islamic practice in Morocco and Indonesia</w:t>
      </w:r>
    </w:p>
    <w:p>
      <w:r>
        <w:t xml:space="preserve"> </w:t>
      </w:r>
    </w:p>
    <w:p>
      <w:pPr>
        <w:pStyle w:val="Heading2"/>
      </w:pPr>
      <w:r>
        <w:t>Short Hypothesis</w:t>
      </w:r>
    </w:p>
    <w:p>
      <w:r>
        <w:t>Higher Poetic Aura Index (PAI) values cause a higher probability that an aesthetic practice will be adopted, cited, or institutionally referenced by local religious authorities within the same community.</w:t>
      </w:r>
    </w:p>
    <w:p>
      <w:r>
        <w:t xml:space="preserve"> </w:t>
      </w:r>
    </w:p>
    <w:p>
      <w:pPr>
        <w:pStyle w:val="Heading2"/>
      </w:pPr>
      <w:r>
        <w:t>Related Work</w:t>
      </w:r>
    </w:p>
    <w:p>
      <w:r>
        <w:t>Prior work combines ethnography, anthropology, and comparative literature to describe regional Islamic practices and aesthetic repertoires; computational cultural analytics applies multimodal feature extraction (text, audio, image) to cultural materials; psychometric cross-cultural work tests factor structures across languages. Limitations: many studies remain descriptive without formalized, testable indices; multimodal sources are often analyzed in isolation (text-only or image-only), reducing cross-modal validation; measurement invariance across languages and dialects is rarely tested or powered; ASR/HTR and automated feature tools perform poorly on under-resourced languages and nonstandard dialects, producing biased features; community participation in index construction and consent governance is weak or absent in many computational projects. These gaps leave unresolved issues about valid cross-site comparison, technical bias, and ethical stewardship.</w:t>
      </w:r>
    </w:p>
    <w:p>
      <w:r>
        <w:t xml:space="preserve"> </w:t>
      </w:r>
    </w:p>
    <w:p>
      <w:pPr>
        <w:pStyle w:val="Heading2"/>
      </w:pPr>
      <w:r>
        <w:t>Abstract</w:t>
      </w:r>
    </w:p>
    <w:p>
      <w:r>
        <w:t>This study develops and validates two multimodal indices—the Poetic Aura Index (PAI) and the Aesthetic Differentiation Index (ADI)—to measure how aesthetic codes and comparativeness operate across Islamic practice in Morocco and Indonesia. We combine ethnographic fieldwork, participatory anchoring vignettes, multimodal capture (text, audio, image, 3D), automated feature extraction, and psychometric modeling to produce reproducible, comparable measures. Main contribution: a validated pipeline that links human-coded TEI/ELAN annotations to automated visual/audio/textual features and tests cross-language measurement invariance. Expected outcome: reliable PAI and ADI scales that predict institutional uptake and reveal intra-community aesthetic pluralism, plus open templates for TEI/ELAN/IIIF integration and governance artefacts for community control. The project emphasizes participatory validation with local interlocutors and reports statistical model specifications, power targets, and documented limitations for cross-site inference.</w:t>
      </w:r>
    </w:p>
    <w:p>
      <w:r>
        <w:t xml:space="preserve"> </w:t>
      </w:r>
    </w:p>
    <w:p>
      <w:pPr>
        <w:pStyle w:val="Heading2"/>
      </w:pPr>
      <w:r>
        <w:t>Methodology</w:t>
      </w:r>
    </w:p>
    <w:p>
      <w:r>
        <w:t>1) Define constructs: PAI has three subscales—rhetorical density (metaphors and sensory tokens per text minute), narrative framing (observer aestheticizing score 0–4), and circulation (distinct platform appearances and normalized reach). ADI is the standardized within-site variance across five domains: ritual performance, material culture, textual rhetoric, sonic ambience, and digital media. 2) Data capture: record sermons, performances, interviews, object photos, and 3D scans. Use TEI (text encoding) for texts, ELAN for time-aligned transcripts, and IIIF manifests for images. TEI is a standard XML format for encoding texts; ELAN is a tool for time-aligned annotation; IIIF is a protocol for image delivery. 3) Automated extraction: run ASR (automatic speech recognition) on audio to get transcripts; ASR converts speech to text. Extract text features (tokenization, metaphor count), audio features (MFCC, tempo using librosa), and image features (color histograms, keypoint descriptors using OpenCV). 4) Human annotation: produce anchoring vignettes (low/medium/high) co-constructed with local partners; annotate a gold-standard subset (30–50 items/site) with TEI/ELAN tags for metaphors, framing, inscriptions, and provenance. 5) Psychometric modeling: compute subscale scores, run confirmatory factor analysis (CFA) to test PAI and ADI latent structure, and use item response theory (IRT) for problematic items. CFA tests whether the data fit a predefined factor model; IRT models how item responses relate to latent traits. 6) Cross-language tests: perform multi-group CFA for configural, metric, and scalar invariance across languages/dialects. 7) Integration and linking: assign persistent IDs (ARK/DOI) and link TEI/ELAN/IIIF records; produce joint displays showing latent scores alongside excerpts and media. 8) Governance and participation: run iterative workshops to co-construct item wording, obtain tiered consent for records, and record consent metadata in TEI headers.</w:t>
      </w:r>
    </w:p>
    <w:p>
      <w:r>
        <w:t xml:space="preserve"> </w:t>
      </w:r>
    </w:p>
    <w:p>
      <w:pPr>
        <w:pStyle w:val="Heading2"/>
      </w:pPr>
      <w:r>
        <w:t>Experiments</w:t>
      </w:r>
    </w:p>
    <w:p>
      <w:r>
        <w:t>Datasets: Pilot corpus: Fez (Morocco) and Yogyakarta (Indonesia) two-month pilot with targets per site: 60 survey respondents, 30 semi-structured interviews, 10–15 event recordings, 100 image/object records, and 30 gold-standard annotated multimodal items. Full study: Fez, Marrakesh, Yogyakarta, and two diaspora nodes with validation samples of 200–300 respondents per language/site and full multimodal collections (~300–500 media items/site). Baselines: (A) ethnographer-only ratings (expert human score of aura), (B) textual-only PAI (using transcripts alone), (C) automated-only features without human anchoring. Evaluation metrics: CFA fit indices (CFI, TLI, RMSEA), reliability (Cronbach's alpha), inter-coder agreement (Cohen's kappa for categorical codes, Krippendorff's alpha for multimodal scales), measurement invariance test statistics and change in CFI/TLI, predictive accuracy for institutional uptake (AUC, precision/recall), and correlations between automated features and human-coded subscales (Pearson r). Experimental setup: preprocessing—ASR transcripts (use fine-tuned model per language), tokenize and count metaphor/sensory tokens per 1,000 words; audio extraction using librosa (MFCCs, spectral centroid), image descriptors via OpenCV (color histograms, SIFT/ORB). Modeling: (1) Fit CFA for PAI subscales; report CFI&gt;0.95, RMSEA&lt;0.06 targets. (2) Multi-group CFA for configural/metric/scalar invariance across language groups. (3) Multilevel SEM predicting institutional uptake (binary) from latent PAI and ADI with site as cluster; report odds ratios and 95% CI. Cross-validation: 5-fold cross-site folds and bootstrap for CI. Ablation studies: (i) full model vs. remove circulation component; (ii) full model vs. remove visual features; (iii) participatory co-constructed items vs. researcher-only items. Compare baselines: test whether combined multimodal PAI explains more variance in uptake than each baseline using likelihood ratio tests and differences in AUC. Significance testing: report p-values and effect sizes; correct for multiple comparisons with Benjamini-Hochberg.</w:t>
      </w:r>
    </w:p>
    <w:p>
      <w:r>
        <w:t xml:space="preserve"> </w:t>
      </w:r>
    </w:p>
    <w:p>
      <w:pPr>
        <w:pStyle w:val="Heading2"/>
      </w:pPr>
      <w:r>
        <w:t>Risk Factors And Limitations</w:t>
      </w:r>
    </w:p>
    <w:p>
      <w:r>
        <w:t>Technical failure modes: ASR/HTR error rates for Moroccan Arabic, Amazigh, Javanese, and dialectal speech may be high, producing noisy transcripts and biased text features. Photogrammetry/3D scans may fail in field conditions. Data and evaluation biases: sampling may over-represent urban or institutionally connected actors; platform metrics (shares/views) are uneven across contexts and can bias circulation measures. Psychometric limits: measurement invariance may not hold across languages, preventing direct latent mean comparisons. Inter-coder reliability risk: multimodal coding can be slow and may not reach κ/α ≥ 0.80. Scalability and compute: processing large video/audio collections for feature extraction needs substantial storage and compute. Legal/ethical constraints: consent restrictions, local laws, or community preferences may restrict use or sharing of materials, limiting sample or public outputs. Generalization limits: findings may not generalize beyond studied sites, genres, or to other Muslim-majority regions with different aesthetic regimes.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