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informal_shade_thermalscape_cuiaba</w:t>
      </w:r>
    </w:p>
    <w:p>
      <w:r>
        <w:t xml:space="preserve"> </w:t>
      </w:r>
    </w:p>
    <w:p>
      <w:pPr>
        <w:pStyle w:val="Heading2"/>
      </w:pPr>
      <w:r>
        <w:t>Title</w:t>
      </w:r>
    </w:p>
    <w:p>
      <w:r>
        <w:t>Ethnography and participatory biosensing study of how informal shading practices alter thermal comfort and consumer behavior in a hot Brazilian city centre</w:t>
      </w:r>
    </w:p>
    <w:p>
      <w:r>
        <w:t xml:space="preserve"> </w:t>
      </w:r>
    </w:p>
    <w:p>
      <w:pPr>
        <w:pStyle w:val="Heading2"/>
      </w:pPr>
      <w:r>
        <w:t>Short Hypothesis</w:t>
      </w:r>
    </w:p>
    <w:p>
      <w:r>
        <w:t>Exposure to informal shading typologies (awnings, umbrellas, tarps) causes immediate reductions in skin temperature and physiological heat stress (higher RMSSD/SDNN and lower tonic GSR) and increases dwell time among urban shoppers compared to shade-free outdoor exposure.</w:t>
      </w:r>
    </w:p>
    <w:p>
      <w:r>
        <w:t xml:space="preserve"> </w:t>
      </w:r>
    </w:p>
    <w:p>
      <w:pPr>
        <w:pStyle w:val="Heading2"/>
      </w:pPr>
      <w:r>
        <w:t>Related Work</w:t>
      </w:r>
    </w:p>
    <w:p>
      <w:r>
        <w:t>Prior work combines urban microclimate measurement, thermal comfort indices, and qualitative observation to study shading and human thermal experience. Approaches include fixed-node microclimate monitoring, CFD or ENVI-met microclimate modeling to estimate mean radiant temperature (MRT) and PET/UTCI indices, wearable biosensors for physiological proxies (skin temperature, heart-rate variability, galvanic skin response), and ethnographic observation of street commerce. Limitations across these methods include: inconsistent biosensor preprocessing and artifact rules (leading to variable usable-data thresholds), lack of harmonized HRV windowing in field contexts, small or convenience samples limiting power and generalizability, weak integration between qualitative narratives and sensor traces, sparse calibration of models against in-situ MRT proxies, unclear operational definitions of informal shade typologies, and inadequate geoprivacy practices for participant and vendor locations. Existing studies rarely combine rigorous within-subject designs, pre-registered analysis plans, and unified artifact/synchronization standards.</w:t>
      </w:r>
    </w:p>
    <w:p>
      <w:r>
        <w:t xml:space="preserve"> </w:t>
      </w:r>
    </w:p>
    <w:p>
      <w:pPr>
        <w:pStyle w:val="Heading2"/>
      </w:pPr>
      <w:r>
        <w:t>Abstract</w:t>
      </w:r>
    </w:p>
    <w:p>
      <w:r>
        <w:t>This study examines how informal shading practices in a hot Brazilian retail centre influence thermal comfort and urban consumption behavior. We combine ethnographic observation, GPS-linked microclimate mapping, ENVI-met modeling, and participatory biosensing (wearable multi-sensor devices plus redundant skin-temperature patches) in a within-subject pilot across three common shading typologies (awnings, umbrellas, tarps) and shade-free controls. The main contribution is a reproducible, pre-registered protocol that links time-aligned physiological proxies (skin temperature, RMSSD/SDNN for heart-rate variability, tonic GSR), subjective comfort reports, and modeled thermal indices (MRT, PET/UTCI) to observed dwell time and vendor–customer interactions. Expected outcomes include quantified effect sizes for shading on physiological comfort and behavior, calibrated ENVI-met scenarios validated against black-globe and pyranometer measurements, and an operational shade-typology taxonomy with geoprivacy-safe thermalscape maps. The results will inform urban design and vendor guidance by showing which informal shading practices most effectively reduce heat strain and support retail activity in hot city centres.</w:t>
      </w:r>
    </w:p>
    <w:p>
      <w:r>
        <w:t xml:space="preserve"> </w:t>
      </w:r>
    </w:p>
    <w:p>
      <w:pPr>
        <w:pStyle w:val="Heading2"/>
      </w:pPr>
      <w:r>
        <w:t>Methodology</w:t>
      </w:r>
    </w:p>
    <w:p>
      <w:r>
        <w:t>Design: within-subject field pilot in Cuiabá comparing three informal shade typologies (1. awnings: fixed attachments to facades; 2. umbrellas: portable shade stands; 3. tarps: temporary suspended covers) plus two controls (a. direct sun outdoor, b. short indoor baseline). Recruit 25–30 participants per pilot week; each participant experiences each shading condition for 30–60 minutes across two time windows (morning and peak heat) and provides a short indoor baseline. Recruitment frame: adults balanced by sex/gender and retail behaviour (regular shoppers, vendors, first-time visitors). Consent: LGPD-compliant forms in Portuguese with withdrawal rights. Sensors: wearable multi-sensor (Empatica E4 or equivalent) + redundant skin-temperature patch; fixed nodes: SHT35 T/RH, black-globe for MRT proxy at 1.1–1.2 m, pyranometer for irradiance, and handheld/ drone RGB + thermal mapping for shade polygons. Calibration and QA: bench calibration across 20–45°C, daily in-situ neutral-site checks, record device offsets in metadata. Synchronization: NTP to UTC on all tablets/servers; GPS time fallback; event markers at shade transitions; target end-to-end sync ≤1 second. Data streams and epoching: 60-second epochs aligned to shade events for time-domain metrics; accelerometer at device default (32–50 Hz) for motion flags. HRV metrics: treat RMSSD and SDNN as primary time-domain indicators for 60s epochs; frequency-domain metrics (LF/HF) reserved for ≥5-minute continuous clean windows. Artifact rules (harmonized): require ≥80% usable data per exposure window; exclude epochs with accelerometer spikes &gt;0.5 g, HR &lt;40 or &gt;200 bpm, ectopic beat fraction &gt;5% per epoch, or obvious GSR step artifacts. Shade typology coding: use photo exemplars, material tag, geometry (angle, height), permanence code, and decision-tree rules for ambiguous cases; train coders with intercoder reliability checks. Microclimate modeling: construct ENVI-met or simplified CFD model with 0.5–1 m near-field resolution, define boundary conditions (incoming solar, ambient wind speed and direction, roughness length), surface material emissivities, and vegetation parameters; run scenarios matching sampling times. Validation: cross-validate modeled MRT and PET/UTCI with black-globe-derived MRT and pyranometer readings; log RMSE. Analysis: preprocess pipelines (containerized) apply artifact flags and baseline corrections; primary statistical tests are linear mixed-effects models with participant and site random intercepts, fixed effects for shade typology, time-of-day, clothing insulation (CLO), hydration proxy, activity level, and modeled MRT; report fixed-effect coefficients, 95% CIs, and Cohen’s d for contrasts. Mixed-methods integration: triangulate sensor events with ethnographic codes and spatial shade maps using joint displays that align timelines, GPS tracks, sensor traces, and field notes. Privacy and outputs: aggregate public maps to 25×25 m minimum and enforce k-anonymity k≥3.</w:t>
      </w:r>
    </w:p>
    <w:p>
      <w:r>
        <w:t xml:space="preserve"> </w:t>
      </w:r>
    </w:p>
    <w:p>
      <w:pPr>
        <w:pStyle w:val="Heading2"/>
      </w:pPr>
      <w:r>
        <w:t>Experiments</w:t>
      </w:r>
    </w:p>
    <w:p>
      <w:r>
        <w:t>Dataset: field-collected pilot in Cuiabá (recommended 2–4 week pilot). Participants: target N=30 with each experiencing 5 conditions (3 shade types + sun + indoor baseline), 30–60 min per condition, minimum 4 repeated exposures per condition per participant where logistics allow. Data collected: wearable traces (skin temp, HR, GSR, ACC), redundant skin-temp patch, fixed-node T/RH and black-globe, pyranometer irradiance, GPS tracks (1 Hz), drone/handheld RGB and thermal orthomosaics, ethnographic time-stamped observations and short subjective comfort surveys per exposure. Baselines: indoor baseline recordings and unshaded direct-sun outdoor sessions. Baselines for modeling: fixed-node measurements co-located with shade polygons. Evaluation metrics: physiological outcomes = mean change in skin temperature (°C) from baseline per condition, RMSSD and SDNN change, tonic GSR mean level change; behavioral outcomes = mean dwell time (seconds) per visit and number of vendor interactions; modeling outcomes = RMSE between modeled MRT and measured black-globe MRT (°C), correlation between modeled PET/UTCI and physiological proxies. Data quality metrics = percent usable epochs per session, synchronization error (seconds). Statistical tests: linear mixed-effects models for within-subject contrasts of each primary outcome with random intercepts for participant and site; report p-values, 95% CI, and Cohen’s d. Comparisons/ablations: 1) Sensor redundancy ablation: full pipeline with redundant skin-temp patch versus pipeline using only wearable skin temp to assess bias and variance in skin-temp estimates. 2) Artifact-threshold sensitivity: re-run analyses with usable-data thresholds at 70%, 80% (primary), and 90% to check effect size stability. 3) Method-fusion ablation: sensor-only analysis versus sensor+ethnography fused analysis to quantify added explanatory power for dwell time and observed interactions (compare model AIC/BIC and R-squared). 4) Modeling validation: ablate model calibration (ENVI-met tuned vs untuned) and compare RMSE to measured MRT; accept calibrated model when RMSE ≤2°C. Reporting: preregister Monte Carlo parameters used in power simulations (assumed ICCs 0.3–0.5, expected effect sizes d=0.3–0.5, data-loss scenarios 10–30%), and a decision rule to escalate N to 35–40 if observed ICCs or data loss exceed preregistered thresholds.</w:t>
      </w:r>
    </w:p>
    <w:p>
      <w:r>
        <w:t xml:space="preserve"> </w:t>
      </w:r>
    </w:p>
    <w:p>
      <w:pPr>
        <w:pStyle w:val="Heading2"/>
      </w:pPr>
      <w:r>
        <w:t>Risk Factors And Limitations</w:t>
      </w:r>
    </w:p>
    <w:p>
      <w:r>
        <w:t>Sensor artefacts due to sweat and motion causing biased skin-temperature and GSR signals; limited wearable HRV reliability in noisy outdoor field conditions; GPS error or missing tracks reducing ability to assign epochs to shade polygons; synchronization drift across devices exceeding tolerance; high participant attrition or missing-data rates reducing power; small pilot sample limiting generalization to other cities or seasons; ENVI-met modeling errors from uncertain boundary conditions, surface emissivities, or vegetation parameters reducing MRT accuracy; ethical and legal risks from geolocated vendor/participant data under LGPD if aggregation fails; drone permission denials limiting thermal mapping; heat-safety risks in fieldwork (heat illness) and possible interruptions from extreme weather; computational limits if high-resolution ENVI-met runs or large drone orthomosaics require extended processing time or specialized hardware.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