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spanish_winery_resilience</w:t>
      </w:r>
    </w:p>
    <w:p>
      <w:r>
        <w:t xml:space="preserve"> </w:t>
      </w:r>
    </w:p>
    <w:p>
      <w:pPr>
        <w:pStyle w:val="Heading2"/>
      </w:pPr>
      <w:r>
        <w:t>Title</w:t>
      </w:r>
    </w:p>
    <w:p>
      <w:r>
        <w:t>Assessing how internal attributes predict resilience dimensions in rural agro-industries using CFA, OLS and SEM: evidence from 411 Spanish wineries</w:t>
      </w:r>
    </w:p>
    <w:p>
      <w:r>
        <w:t xml:space="preserve"> </w:t>
      </w:r>
    </w:p>
    <w:p>
      <w:pPr>
        <w:pStyle w:val="Heading2"/>
      </w:pPr>
      <w:r>
        <w:t>Short Hypothesis</w:t>
      </w:r>
    </w:p>
    <w:p>
      <w:r>
        <w:t>Higher levels of internal attributes (size, innovation capacity, and rural commitment) causally increase wineries' standardized resilience scores (robustness, adaptability, and transformability) after controlling for perceived economic, environmental, and social challenges and firm controls.</w:t>
      </w:r>
    </w:p>
    <w:p>
      <w:r>
        <w:t xml:space="preserve"> </w:t>
      </w:r>
    </w:p>
    <w:p>
      <w:pPr>
        <w:pStyle w:val="Heading2"/>
      </w:pPr>
      <w:r>
        <w:t>Related Work</w:t>
      </w:r>
    </w:p>
    <w:p>
      <w:r>
        <w:t>Prior empirical work on rural wineries and agro-industries has shown that firms adapt through innovation and that larger firms or those with strong local ties often report greater resilience. Common approaches use survey-based indices, OLS regressions, and case studies. Limitations remain: many studies rely on simple additive indexes that ignore measurement error; they do not test measurement invariance across regions or size groups; spatial dependence is often untested; causal claims are weakened by endogeneity and common-method bias (same-survey predictors and outcomes); and few studies pre-specify robustness checks like IV diagnostics, MNAR sensitivity for missing data, or propagation of factor-score uncertainty. These gaps reduce confidence in effect sizes and policy recommendations.</w:t>
      </w:r>
    </w:p>
    <w:p>
      <w:r>
        <w:t xml:space="preserve"> </w:t>
      </w:r>
    </w:p>
    <w:p>
      <w:pPr>
        <w:pStyle w:val="Heading2"/>
      </w:pPr>
      <w:r>
        <w:t>Abstract</w:t>
      </w:r>
    </w:p>
    <w:p>
      <w:r>
        <w:t>This study examines whether internal attributes of rural agro-industries—firm size, organizational structure, innovation capacity, and rural commitment—predict three resilience dimensions (robustness, adaptability, transformability) in 411 Spanish wineries. We first build validated latent measures of resilience using confirmatory factor analysis (CFA) and test measurement invariance across regions and size classes. We then estimate structural relationships using a primary latent-variable SEM and complementary OLS regressions that use factor scores with measurement-error checks. We pre-register tests for moderation (innovation × environmental challenge), interaction with rural commitment, spatial dependence diagnostics, and an IV strategy using historical cooperative density and proximity to research centers. We use multiple imputation for missing data and report sensitivity bounds for MNAR and weak instruments. The main contribution is a reproducible, pre-specified workflow that links validated latent measurement to structural inference and spatial diagnostics, producing robust, policy-relevant estimates of how internal attributes shape resilience in rural wineries.</w:t>
      </w:r>
    </w:p>
    <w:p>
      <w:r>
        <w:t xml:space="preserve"> </w:t>
      </w:r>
    </w:p>
    <w:p>
      <w:pPr>
        <w:pStyle w:val="Heading2"/>
      </w:pPr>
      <w:r>
        <w:t>Methodology</w:t>
      </w:r>
    </w:p>
    <w:p>
      <w:r>
        <w:t>1) Data preparation: compile the 411-winery survey, firm controls (age, exports, certification), geocode firms, and merge environmental data (SPEI) and historical IVs (provincial cooperative density, research center distance). 2) Missing data: run multiple imputation by chained equations (MICE) with predictive mean matching, m=50 imputations; include auxiliary and spatial predictors. 3) Measurement: specify CFA for three latent factors (robustness, adaptability, transformability). Reverse-code negative items. Expect loadings &gt;0.40. Compute composite reliability and AVE. Test measurement invariance in sequence (configural → metric → scalar) across region and size. If items fail, apply pre-registered partial-invariance rules. (Note: CFA is a method to model latent traits from survey items; loadings measure how strongly each item reflects the latent trait.) 4) Factor scores vs SEM: primary analysis uses a structural equation model (SEM) that links latent resilience factors to predictors, so measurement error is modeled directly. As a secondary check, compute factor scores by two methods (regression and Bartlett) and run OLS using those scores; propagate uncertainty via bootstrap or Rubin-style pooling. 5) Structural models: estimate SEM with predictors: size_log, turnover_log, structure dummies, innovation_index, rural_commit_z, econ_chal_z, env_chal_z, soc_chal_z, controls, and province fixed effects. Include pre-specified interactions (innovation × env_chal, rural_commit × econ_chal). 6) Endogeneity: test IVs in first-stage regressions (require F&gt;10), report Kleibergen-Paap, partial R2; run IV or control-function if valid. 7) Spatial diagnostics: compute Moran's I and LISA on latent scores and OLS residuals; predefine W matrices (kNN k=5 and inverse-distance within 50 km) and, if needed, estimate SAR/SEM/SDM as robustness. 8) Inference and robustness: use cluster-robust SEs by province and alternative clustering by DO; apply multiple-testing corrections within primary/secondary families; present Oster bounds when IVs are weak. 9) Reproducibility: publish code, data dictionary, imputation seeds, CFA/SEM syntax, and anonymization rules.</w:t>
      </w:r>
    </w:p>
    <w:p>
      <w:r>
        <w:t xml:space="preserve"> </w:t>
      </w:r>
    </w:p>
    <w:p>
      <w:pPr>
        <w:pStyle w:val="Heading2"/>
      </w:pPr>
      <w:r>
        <w:t>Experiments</w:t>
      </w:r>
    </w:p>
    <w:p>
      <w:r>
        <w:t>Datasets: (A) primary: 411-winery survey with item-level responses for resilience constructs and firm covariates; (B) SPEI series at municipality grid cells for SPEI-3, SPEI-12, SPEI-24; (C) historical IVs: provincial cooperative density (pre-1980), dates of regional wine-support policy changes, distances to agricultural research centers. Baselines: 1) OLS on observed composite indices (simple averages); 2) OLS on factor scores (regression and Bartlett methods); 3) SEM (primary); 4) SUR and spatial models (SAR/SEM/SDM) as robustness; 5) IV estimates where applicable. Evaluation metrics: CFA fit stats (CFI, TLI, RMSEA, SRMR), loadings and AVE, composite reliability (omega), standardized β coefficients, adjusted R^2 (or pseudo-R^2), first-stage F-statistic and partial R^2 for IVs, Kleibergen-Paap rk, Moran's I for spatial dependence, bootstrap 95% CIs, and Oster delta bounds. Experimental setup: run CFA with WLSMV for ordinal items; test invariance across region and size. Primary structural test: SEM estimating direct effects of internal attributes on three latent resilience outcomes with interactions (innovation×env_chal; rural_commit×econ_chal). Ablation 1: compare SEM results to OLS on regression factor scores (regression vs Bartlett) and report differences and propagated uncertainty. Ablation 2: exclude spatial terms and compare to spatial models to assess sensitivity. Ablation 3: run IV-SEM or control-function SEM if IVs pass first-stage thresholds; otherwise report Oster bounds. Missing-data handling: run all models across m=50 imputations and pool estimates; also report complete-case results. Inference: cluster-robust SEs by province and present results with alternative clustering by DO. Multiple testing: apply Holm within primary hypothesis family and Benjamini-Hochberg across exploratory tests.</w:t>
      </w:r>
    </w:p>
    <w:p>
      <w:r>
        <w:t xml:space="preserve"> </w:t>
      </w:r>
    </w:p>
    <w:p>
      <w:pPr>
        <w:pStyle w:val="Heading2"/>
      </w:pPr>
      <w:r>
        <w:t>Risk Factors And Limitations</w:t>
      </w:r>
    </w:p>
    <w:p>
      <w:r>
        <w:t>1) Common-method bias: predictors and outcomes from the same survey may inflate associations; tests (e.g., single-factor or latent common-method factor) may detect but not fully remove bias. 2) Weak instruments: historical IVs may fail relevance or exclusion; if so, causal claims are limited and rely on sensitivity bounds. 3) Measurement noninvariance: factors may not be comparable across regions or sizes; this limits pooled inference and may force group-specific analyses with reduced power. 4) Sample size: N=411 restricts power for interactions and subgroup tests; detectable standardized effects for subgroups may be large. 5) Spatial mis-specification: incorrect W matrix choice can bias spatial estimates; multiple W choices help but do not guarantee truth. 6) Missing data MNAR: multiple imputation assumes MAR; MNAR mechanisms could bias results and sensitivity analyses may be inconclusive. 7) External validity: findings apply to sampled Spanish wineries and may not generalize to other countries or agro-industries. 8) Factor-score uncertainty: using scores in OLS without correct propagation can understate standard errors. 9) Data confidentiality: geocoding and IV data may have access restrictions limiting reproducibility.</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