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voucher_fruit_afford_nigeria_vietnam</w:t>
      </w:r>
    </w:p>
    <w:p>
      <w:r>
        <w:t xml:space="preserve"> </w:t>
      </w:r>
    </w:p>
    <w:p>
      <w:pPr>
        <w:pStyle w:val="Heading2"/>
      </w:pPr>
      <w:r>
        <w:t>Title</w:t>
      </w:r>
    </w:p>
    <w:p>
      <w:r>
        <w:t>A randomized controlled trial assessing whether fruit vouchers increase affordability and fruit consumption among peri-urban and urban households in Nigeria and Vietnam</w:t>
      </w:r>
    </w:p>
    <w:p>
      <w:r>
        <w:t xml:space="preserve"> </w:t>
      </w:r>
    </w:p>
    <w:p>
      <w:pPr>
        <w:pStyle w:val="Heading2"/>
      </w:pPr>
      <w:r>
        <w:t>Short Hypothesis</w:t>
      </w:r>
    </w:p>
    <w:p>
      <w:r>
        <w:t>Providing monthly fruit vouchers to households causes an increase in mean daily fruit servings among women aged 15–49 at 6 months compared to no voucher.</w:t>
      </w:r>
    </w:p>
    <w:p>
      <w:r>
        <w:t xml:space="preserve"> </w:t>
      </w:r>
    </w:p>
    <w:p>
      <w:pPr>
        <w:pStyle w:val="Heading2"/>
      </w:pPr>
      <w:r>
        <w:t>Related Work</w:t>
      </w:r>
    </w:p>
    <w:p>
      <w:r>
        <w:t>Randomized trials and program evaluations in low- and middle-income countries show that targeted in-kind or cash-like vouchers can increase purchases and short-term consumption of targeted foods. Cluster randomized designs and market-level analyses have been used to limit contamination and to study retailer responses. Limitations in current work include: (1) few multi-country comparisons across different market and payment infrastructures; (2) reliance on self-reported intake without systematic biomarker validation or calibration; (3) limited measurement of supply-side responses (price pass-through, stockouts) and possible local price inflation; (4) weak pre-specification of contamination buffers and fraud controls in voucher systems; and (5) small cluster counts or underpowered designs for subgroup and three-arm comparisons. These gaps leave open questions about external validity, measurement bias, and market equilibrium effects.</w:t>
      </w:r>
    </w:p>
    <w:p>
      <w:r>
        <w:t xml:space="preserve"> </w:t>
      </w:r>
    </w:p>
    <w:p>
      <w:pPr>
        <w:pStyle w:val="Heading2"/>
      </w:pPr>
      <w:r>
        <w:t>Abstract</w:t>
      </w:r>
    </w:p>
    <w:p>
      <w:r>
        <w:t>Fruit consumption is low in many urban and peri-urban settings, and price is a common barrier. We propose a multi-site randomized controlled trial in Nigeria and Vietnam to test whether monthly vouchers that lower the effective retail price of fruit increase fruit affordability and individual fruit intake. The trial uses cluster randomization at market-catchment level with three arms: control, low-value voucher, and high-value voucher. Primary outcome is mean daily fruit servings among women aged 15–49 measured by the average of two non-consecutive 24-hour recalls at baseline and 6 months. Secondary measures include a fruit affordability index, fruit diversity, voucher redemption, biomarker validation (plasma carotenoids or vitamin C in a subsample), and market price monitoring to identify retailer pass-through. Analysis follows intention-to-treat with cluster-robust inference and complier-average causal effect estimation. Expected contributions: cross-country evidence on voucher effectiveness, validated dietary measurement via biomarkers and calibration, and rigorous assessment of supply-side and spillover effects informing scalable nutrition policy.</w:t>
      </w:r>
    </w:p>
    <w:p>
      <w:r>
        <w:t xml:space="preserve"> </w:t>
      </w:r>
    </w:p>
    <w:p>
      <w:pPr>
        <w:pStyle w:val="Heading2"/>
      </w:pPr>
      <w:r>
        <w:t>Methodology</w:t>
      </w:r>
    </w:p>
    <w:p>
      <w:r>
        <w:t>Study design: cluster randomized controlled trial at market-catchment level. Clusters are defined as the main catchment area for a local market; mapping rules will list markets and their surrounding communities before randomization. Arms: control, low-value voucher, high-value voucher. Voucher mechanics: monthly voucher credited per household, low ≈ local equivalent of USD 4–6/month, high ≈ USD 8–12/month, with monthly caps (e.g., 16–20 servings) and 30–60 day expiry. Delivery: digital codes (SMS/QR/mobile wallet) with paper fallback and vendor-anchored credit where mobile money is limited. Eligible items: explicitly listed fresh fruit and minimally processed fruit (exclude sugar-added products); vendor list maintained and updated. Primary outcome measurement: two non-consecutive standardized multiple-pass 24-hour recalls per individual (one weekday, one weekend) at baseline and 6 months, averaged to mean daily fruit servings. Calibration: a culturally adapted fruit FFQ administered each wave in all respondents and a calibration subsample (10–15%) with repeated recalls and weighed-records. Biomarker subsample: 150–200 individuals per country balanced by arm for plasma carotenoids or vitamin C assays; dried blood spot (DBS) validation against plasma in pilot. Market monitoring: weekly price scans, POS-level voucher redemption logs, and retailer surveys on stockouts and markups. Analysis: primary ITT uses OLS with the 6-month outcome as dependent variable, treatment indicator, baseline outcome, stratification fixed effects (country, urbanicity, baseline price/consumption tercile), and pre-specified covariates; cluster-robust standard errors with G-1 degrees of freedom and wild bootstrap if cluster counts are small. CACE estimated by two-stage least squares using assignment as instrument for redemption. Multiple-testing uses pre-specified families (primary, affordability, secondary) and Romano–Wolf stepdown within families. Spillover control: geofenced buffers (urban 1–2 km, peri-urban 3–5 km), retailer eligibility, and pre-specified spatial exposure metrics.</w:t>
      </w:r>
    </w:p>
    <w:p>
      <w:r>
        <w:t xml:space="preserve"> </w:t>
      </w:r>
    </w:p>
    <w:p>
      <w:pPr>
        <w:pStyle w:val="Heading2"/>
      </w:pPr>
      <w:r>
        <w:t>Experiments</w:t>
      </w:r>
    </w:p>
    <w:p>
      <w:r>
        <w:t>Datasets: primary collected field data from randomized clusters in peri-urban and urban sites in Nigeria and Vietnam (household roster, two 24h recalls, FFQ, voucher logs, weekly market prices, retailer surveys, biomarkers subsample), plus synthetic example datasets for code testing. Baselines: control arm (no voucher), low-value voucher arm, high-value voucher arm. Experimental setup: stratified cluster randomization by country, urbanicity, and baseline market-price or baseline household fruit consumption terciles. Target sampling: 25 households per cluster; recommended 20–30 clusters per arm per country; for three-arm designs prefer 25–30 clusters per arm. Power scenarios: assume outcome SD=1 serving. Report minimum detectable effects (MDE) in servings/day under ICC scenarios: ICC=0.01 → with 25 clusters/arm detect ≈0.12–0.15 servings; ICC=0.03 → detect ≈0.15–0.20; ICC=0.05 → detect ≈0.20–0.25; ICC=0.10 → detect ≈0.25–0.30 servings (values approximate; full simulation table to be produced). Primary evaluation metric: mean difference in daily fruit servings at 6 months. Secondary metrics: fruit affordability index (price per edible serving), fruit diversity (distinct fruit items/week), voucher redemption rate, biomarker concentrations (carotenoids or vitamin C), retailer price changes and stockout frequency, cost per incremental serving. Models and inference: primary OLS specification: outcome_ij6 = α + β*TREAT_cluster_j + γ*outcome_ij0 + δ*strata_j + X'θ + u_ij; cluster-robust SEs at cluster level. CACE: two-stage least squares with assignment instrumenting for household redemption. Multiple testing: apply Romano–Wolf within families, report adjusted p-values. Ablation studies: (A) compare three-arm vs pooled-voucher two-arm analysis to test dose-response; (B) compare cluster-randomized estimator vs hypothetical individual randomization (simulated variance) to assess efficiency loss; (C) test models with and without calibration-adjusted intake using FFQ and biomarker calibration. Robustness checks: wild cluster bootstrap p-values when clusters per arm ≤30; Leave-One-Cluster-Out sensitivity; spatial spillover regressions using distance-weighted treatment exposure. Biomarker validation experiment: test correlation between reported servings and biomarker levels in subsample; power target: n=150–200 per country to detect moderate correlations (r ≈ 0.25–0.30) and to estimate calibration coefficients with usable precision. Cost-effectiveness analysis: compute cost per additional serving using voucher transfer value plus implementation costs, with sensitivity bounds for uptake and leakage.</w:t>
      </w:r>
    </w:p>
    <w:p>
      <w:r>
        <w:t xml:space="preserve"> </w:t>
      </w:r>
    </w:p>
    <w:p>
      <w:pPr>
        <w:pStyle w:val="Heading2"/>
      </w:pPr>
      <w:r>
        <w:t>Risk Factors And Limitations</w:t>
      </w:r>
    </w:p>
    <w:p>
      <w:r>
        <w:t>Contamination and spillovers: cross-market shopping or informal transfers may bias ITT and dilute measured effects. Measurement error: self-reported 24-hour recalls can misreport intake; calibration reduces but does not eliminate error. Biomarker logistics: cold-chain failures, lab capacity limits, or DBS-plasma discordance may invalidate validation subsample. Fraud and leakage: fraudulent redemptions, resale, or vendor gaming could bias uptake metrics. Supply-side equilibrium: local price increases or supplier responses may offset voucher effects and complicate identification of demand vs supply effects. Attrition and non-compliance: differential drop-out or low redemption reduces power and may bias CACE. Power limits: cluster count constraints reduce reliable inference for small effects or many subgroup analyses. Generalizability: peri-urban and urban markets in two countries may not represent rural areas or other countries with different market and payment infrastructure. Regulatory and ethical delays: country approvals and vendor agreements can delay timelines and affect pilot-to-scale decisions.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