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ageing_osh_fidelity_survey</w:t>
      </w:r>
    </w:p>
    <w:p>
      <w:r>
        <w:t xml:space="preserve"> </w:t>
      </w:r>
    </w:p>
    <w:p>
      <w:pPr>
        <w:pStyle w:val="Heading2"/>
      </w:pPr>
      <w:r>
        <w:t>Title</w:t>
      </w:r>
    </w:p>
    <w:p>
      <w:r>
        <w:t>An exploratory questionnaire-based study mapping occupational safety and health interventions and their effects on safety incidents and productivity in an ageing workforce</w:t>
      </w:r>
    </w:p>
    <w:p>
      <w:r>
        <w:t xml:space="preserve"> </w:t>
      </w:r>
    </w:p>
    <w:p>
      <w:pPr>
        <w:pStyle w:val="Heading2"/>
      </w:pPr>
      <w:r>
        <w:t>Short Hypothesis</w:t>
      </w:r>
    </w:p>
    <w:p>
      <w:r>
        <w:t>Higher-fidelity ageing-tailored OSH interventions cause lower workplace safety-incident rates and higher worker productivity among older age bands, mediated by perceived usefulness/usability.</w:t>
      </w:r>
    </w:p>
    <w:p>
      <w:r>
        <w:t xml:space="preserve"> </w:t>
      </w:r>
    </w:p>
    <w:p>
      <w:pPr>
        <w:pStyle w:val="Heading2"/>
      </w:pPr>
      <w:r>
        <w:t>Related Work</w:t>
      </w:r>
    </w:p>
    <w:p>
      <w:r>
        <w:t>Existing work evaluates occupational safety and health (OSH) interventions using self-report surveys, safety-incident records, and occasional objective measures. Common instruments include safety climate and psychosocial scales, and productivity questionnaires such as the WPAI or WHO‑HPQ. Limitations are: heavy reliance on cross-sectional self-report data, sparse use of ageing-specific fidelity measures, inconsistent psychometric validation across age groups, few studies that combine objective sensor data with surveys, limited multilevel or mediation analyses that account for clustering by firm/team, and weak attention to causal design (few stepped-wedge or staggered designs). Latent-class and multilevel SEM methods are rarely used to characterise implementation archetypes and mediated paths. Overall, prior approaches lack validated fidelity rubrics for ageing adaptations, robust measurement-invariance testing across age bands, and published Monte Carlo power plans for interactions and mediated multilevel effects.</w:t>
      </w:r>
    </w:p>
    <w:p>
      <w:r>
        <w:t xml:space="preserve"> </w:t>
      </w:r>
    </w:p>
    <w:p>
      <w:pPr>
        <w:pStyle w:val="Heading2"/>
      </w:pPr>
      <w:r>
        <w:t>Abstract</w:t>
      </w:r>
    </w:p>
    <w:p>
      <w:r>
        <w:t>This study maps workplace occupational safety and health (OSH) interventions and tests how ageing-tailored fidelity affects safety incidents and productivity in older workers. We use a core 20–25 minute questionnaire administered at baseline and follow-ups (1 month, 3 months, and 6 months) across multiple firms and sectors, combined with an objective-measure subsample (15–25%) using wearables and site sensors. The main contribution is a validated ageing-tailored fidelity rubric and an analytic pipeline that links fidelity to outcomes via perceived usefulness/usability using multilevel structural equation models (multilevel SEM) and latent class analysis (LCA). We will pre-register directed acyclic graphs (DAGs), run Monte Carlo simulations to set sample targets, and test measurement invariance of scales across age bands. Expected outcomes include: (1) empirical estimates of fidelity→outcome effects and mediation by usability, (2) a taxonomy of implementation archetypes, and (3) calibrated sensor indices for physical demands. Results aim to inform practical, age-friendly OSH adaptations and scalable evaluation methods.</w:t>
      </w:r>
    </w:p>
    <w:p>
      <w:r>
        <w:t xml:space="preserve"> </w:t>
      </w:r>
    </w:p>
    <w:p>
      <w:pPr>
        <w:pStyle w:val="Heading2"/>
      </w:pPr>
      <w:r>
        <w:t>Methodology</w:t>
      </w:r>
    </w:p>
    <w:p>
      <w:r>
        <w:t>1) Instrument design: create a 20–25 minute core survey capturing intervention presence, a 5–7 item ageing-adaptation fidelity rubric per domain (ergonomics, organization, training, health accommodations, assistive tech, psychosocial), perceived usefulness/usability (short SUS-style items), safety climate, fatigue, WPAI productivity, self-rated performance, demographics, and basic health. (SUS = System Usability Scale, a short usability questionnaire.) 2) Cognitive interviews: run 8–12 interviews with older workers to ensure clarity and accessible formatting (large fonts, simple language). 3) Pilot and psychometrics: pilot in 5–10 firms (n≈100–150); perform EFA (exploratory factor analysis) to find latent constructs, then CFA (confirmatory factor analysis) on holdout data. Test reliability (Cronbach’s alpha, McDonald’s omega) and measurement invariance across age bands (configural, metric, scalar). 4) Sampling and design: stratify recruitment by sector and three age bands (50–57, 58–65, 66+); target 30–50 clusters (firms) with 10–25 workers each; objective subsample 15–25% for actigraphy/IMUs (actigraphy = wearable that measures sleep and activity; IMU = inertial measurement unit that measures movement). 5) Analysis pipeline: descriptive profiles; EFA→CFA; multilevel regression with random intercepts for firm/team; multilevel SEM for mediation (multilevel SEM = structural equation model that accounts for clustering); latent class/profile analysis to find implementation archetypes. 6) Power and simulations: run Monte Carlo simulations varying ICCs (0.05–0.15), cluster sizes, missingness (10–30%), and effect sizes to set sample targets. 7) Objective data processing: define sampling rates and epochs, extract features (e.g., time in awkward postures, movement counts), aggregate to daily/site summaries, and build calibration models linking sensor indices to WPAI and incident reports. 8) Governance: obtain explicit consent for wearables, use pseudonymisation, secure storage, and GDPR-compliant retention rules.</w:t>
      </w:r>
    </w:p>
    <w:p>
      <w:r>
        <w:t xml:space="preserve"> </w:t>
      </w:r>
    </w:p>
    <w:p>
      <w:pPr>
        <w:pStyle w:val="Heading2"/>
      </w:pPr>
      <w:r>
        <w:t>Experiments</w:t>
      </w:r>
    </w:p>
    <w:p>
      <w:r>
        <w:t>Datasets: (A) Main survey dataset collected from multiple firms across sectors at baseline, 1 month, 3 months, and 6 months. Target samples: pilot n≈100–150 (5–10 firms); main preferred n≈750 (≈50 clusters × 15 workers); minimum exploratory n≈450 (≈30 clusters × 15). (B) Objective subsample: 15–25% of participants with wearables and site sensors for two-week windows. Baselines: comparison groups will be (1) low-fidelity vs high-fidelity ageing-tailored interventions, (2) unexposed vs exposed, and (3) stepped-wedge or matched-controls where feasible. Baseline models: multilevel (worker nested within team/firm). Evaluation metrics: primary — safety-incident rate (binary or count per 30 days), WPAI percent impairment, self-rated performance (Likert); secondary — factor loadings, Cronbach’s alpha/omega (&gt;0.70 threshold), measurement invariance tests (ΔCFI/ΔRMSEA criteria), mediation effect size (indirect path beta), ICCs, model fit: RMSEA, CFI, SRMR; LCA metrics: BIC, entropy, class recovery accuracy. Experimental setup: 1) Run Monte Carlo simulations for power on primary contrasts (mediation path fidelity→usability→productivity; age-band moderation) under ICCs 0.05/0.10/0.15, missingness 10/20/30%, effect sizes β=0.20/0.30. 2) Perform EFA on half the sample, CFA on holdout; if invariance fails use partial invariance. 3) Fit multilevel regression and multilevel SEM, report clustered-robust SEs. 4) Run LCA to identify 3–4 implementation archetypes and relate classes to outcomes via multilevel regression. 5) Calibration study: regress objective sensor indices on WPAI and incidents in subsample; report R² and prediction error. Ablations: A) drop objective measures and re-estimate mediation; B) drop ageing-tailoring variable (treat all interventions as universal) and compare effect sizes; C) ignore clustering (single-level models) to show bias. Baselines for comparison: unexposed sites, low-fidelity sites, and published population WPAI averages where available. Success criteria: primary hypotheses significant at p&lt;0.05 with power ≥0.80 in specified Monte Carlo scenarios; reliability ω/α&gt;0.70 for key scales.</w:t>
      </w:r>
    </w:p>
    <w:p>
      <w:r>
        <w:t xml:space="preserve"> </w:t>
      </w:r>
    </w:p>
    <w:p>
      <w:pPr>
        <w:pStyle w:val="Heading2"/>
      </w:pPr>
      <w:r>
        <w:t>Risk Factors And Limitations</w:t>
      </w:r>
    </w:p>
    <w:p>
      <w:r>
        <w:t>1) Recruitment and response bias: low response rates, especially in SMEs and low-ICT workers, can reduce representativeness and power. 2) Measurement bias: WPAI and self-reported incidents are subject to reporting bias and common-method variance. 3) Missing data and MNAR (missing not at random): nonresponse linked to health or workload may bias estimates. 4) Psychometric failure: measurement invariance may not hold across age bands, limiting valid comparisons. 5) Insufficient power for interactions and mediated multilevel effects if cluster numbers or cluster sizes are low. 6) Objective-sensor limitations: sensor failure, low wear compliance, limited battery life, or noisy sensor signals degrade calibration and analytic value. 7) Privacy and consent constraints may reduce objective subsample size. 8) Causal inference limits: without randomization, residual confounding may persist even after propensity-score or IV methods. 9) Scalability and cost: wearables, sensors, and repeated follow-ups increase cost and logistical burden. 10) Generalizability: findings may not generalize beyond sampled sectors, regions, or cultural contexts.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