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w:t>
      </w:r>
    </w:p>
    <w:p>
      <w:r>
        <w:t xml:space="preserve"> </w:t>
      </w:r>
    </w:p>
    <w:p>
      <w:pPr>
        <w:pStyle w:val="Heading2"/>
      </w:pPr>
      <w:r>
        <w:t>Title</w:t>
      </w:r>
    </w:p>
    <w:p>
      <w:r>
        <w:t>A mixed-methods cross-national study testing a circular-ecosystem intervention framework to improve occupational safety and health implementation and outcomes</w:t>
      </w:r>
    </w:p>
    <w:p>
      <w:r>
        <w:t xml:space="preserve"> </w:t>
      </w:r>
    </w:p>
    <w:p>
      <w:pPr>
        <w:pStyle w:val="Heading2"/>
      </w:pPr>
      <w:r>
        <w:t>Short Hypothesis</w:t>
      </w:r>
    </w:p>
    <w:p>
      <w:r>
        <w:t>Work sites that implement a circular-ecosystem OSH intervention (standardized indicators, formal data-sharing, and multi-actor governance) will achieve greater increases in adoption of safety practices and larger reductions in incident rates over 9 months than comparable sites using standard OSH practice approaches.</w:t>
      </w:r>
    </w:p>
    <w:p>
      <w:r>
        <w:t xml:space="preserve"> </w:t>
      </w:r>
    </w:p>
    <w:p>
      <w:pPr>
        <w:pStyle w:val="Heading2"/>
      </w:pPr>
      <w:r>
        <w:t>Related Work</w:t>
      </w:r>
    </w:p>
    <w:p>
      <w:r>
        <w:t>Existing OSH approaches typically focus on isolated actions (single interventions, single-actor programs) or on implementation frameworks like RE-AIM and CIPP that guide phases but do not operationalize multi-actor, cross-phase ecosystems. Recent work on ecosystem and circular approaches highlights lifecycle thinking, multi-actor collaboration, and digital data flows, but lacks validated cross-national measurement toolkits, standardized data provenance, and tested governance templates. Methods combining qualitative expert input with pilot testing have been used, yet they often miss psychometric rigor for multi-language invariance, clear missing-data rules, or data governance models appropriate for cross-border sharing. Modeling work (system dynamics or agent-based) has been applied to OSH in single-country settings but rarely calibrated with linked qualitative–quantitative evidence or validated across countries. Limitations in prior methods include: weak cross-national comparability, inadequate sample-size planning for invariance tests, insufficient handling of re-identification risk, and lack of contingency rules when countries provide low sample counts.</w:t>
      </w:r>
    </w:p>
    <w:p>
      <w:r>
        <w:t xml:space="preserve"> </w:t>
      </w:r>
    </w:p>
    <w:p>
      <w:pPr>
        <w:pStyle w:val="Heading2"/>
      </w:pPr>
      <w:r>
        <w:t>Abstract</w:t>
      </w:r>
    </w:p>
    <w:p>
      <w:r>
        <w:t>This study tests whether a circular-ecosystem intervention—combining a standardized item bank, phase-specific indicators, formal data provenance, and multi-actor governance—improves occupational safety and health (OSH) adoption and outcomes across countries. We propose a mixed-methods protocol: develop and validate an item bank using exploratory factor analysis, item response theory, and multi-group confirmatory factor analysis for measurement invariance; link qualitative codes to indicators via a provenance-backed data model; pilot the intervention in diverse sectors across three countries; and evaluate impact with quasi-experimental designs (stepped-wedge or matched comparators). Main contributions are a validated cross-national measurement toolkit, a traceable data architecture for qualitative–quantitative linkage, and empirical evidence on whether circular-ecosystem components (data-sharing and governance) yield larger practice adoption and incident reduction than standard OSH approaches. Expected outcomes include reliable indicators, documented governance rubrics, and quantified effect sizes to inform scaling and policy guidance.</w:t>
      </w:r>
    </w:p>
    <w:p>
      <w:r>
        <w:t xml:space="preserve"> </w:t>
      </w:r>
    </w:p>
    <w:p>
      <w:pPr>
        <w:pStyle w:val="Heading2"/>
      </w:pPr>
      <w:r>
        <w:t>Methodology</w:t>
      </w:r>
    </w:p>
    <w:p>
      <w:r>
        <w:t>1. Item bank development: collect candidate items for five elements (value, actors, data/materials/flows, circular activities, governance) across four phases (design, implementation, evaluation, follow-up). 2. Exploratory analysis: run Exploratory Factor Analysis (EFA) on pilot responses to find factor structure. EFA is a statistical method that finds groups of related items. 3. Item reduction with IRT: use Item Response Theory (IRT) to assess item information and choose items that give stable measurement across levels of the trait. IRT models how likely a person with a given trait level answers an item a certain way. 4. Multi-group CFA: run Confirmatory Factor Analysis (CFA) across countries and modes to test configural, metric, and scalar invariance using thresholds (CFI/TLI &gt; .95, RMSEA &lt; .06, SRMR &lt; .08). 5. Translation and cognitive testing: do forward/back translation and 10-15 cognitive interviews per language to ensure clarity. 6. Mixed instruments: deploy surveys (Likert scales 1–5), semi-structured interviews, and document audits. 7. Qualitative coding and linkage: double-code transcripts for 20–30% to reach Cohen's kappa ≥ 0.60; map codes to indicators and record provenance using PROV-O (a simple standard to record where data came from and how it changed). 8. Data governance: prepare GDPR-compliant templates, consent forms, and data steward roles; capture access rules in metadata. 9. Pilot implementation: run pilots in selected sites with pre-defined sample sizes and modes (online and interviewer-assisted). 10. Analysis: test primary hypothesis with mixed-effects regression or difference-in-differences, evaluate measurement properties, run ablations removing governance or data-sharing components, and use process tracing for causal mechanisms. 11. Modeling: parameterize system-dynamics and agent-based models using indicator time-series and actor-role data to explore leverage points. 12. Reporting: produce codebook, governance rubric, provenance logs, and reproducible analysis scripts.</w:t>
      </w:r>
    </w:p>
    <w:p>
      <w:r>
        <w:t xml:space="preserve"> </w:t>
      </w:r>
    </w:p>
    <w:p>
      <w:pPr>
        <w:pStyle w:val="Heading2"/>
      </w:pPr>
      <w:r>
        <w:t>Experiments</w:t>
      </w:r>
    </w:p>
    <w:p>
      <w:r>
        <w:t>Datasets: pilot data from 3 countries (A, B, C) in 3 sectors each (construction, manufacturing, healthcare). Per site targets: survey n = 80 (range 60–120), interviews = 20, document audits = 10. Total planned pilot N ≈ 720 surveys, 180 interviews. Baselines: (1) standard OSH practice package (existing checklists and single-actor training), (2) RE-AIM–guided implementation without circular features. Evaluation metrics: primary — adoption_rate (proportion of intended safety practices adopted), incident_rate (reported incidents per 100 worker-months); secondary — composite_indicator reliability (Cronbach's alpha), measurement invariance indices (CFI, RMSEA, SRMR), inter-rater reliability (Cohen's kappa, ICC), data_sharing_consent_rate. Statistical tests and models: 1) Multi-group CFA for invariance (report configural/metric/scalar results and ΔCFI); minimum recommended per-group N = 200 for full scalar invariance; for pilots treat invariance tests as preliminary and follow contingency rules. 2) Impact estimation: mixed-effects regression (site and country random effects) for adoption_rate and incident_rate; report coefficients, 95% CIs, and p-values. 3) Quasi-experimental: difference-in-differences where matched comparator sites exist; stepped-wedge analysis if staggered rollout used. 4) Ablation studies: (A) full circular intervention vs (B) minus governance component vs (C) minus data-sharing component vs (D) core-module only. Compare effect sizes across conditions. 5) Psychometric pipeline: EFA → IRT → CFA; retention rules: factor loading ≥ 0.40, cross-loading difference ≥ 0.20, item information &gt; threshold (top 70% of information), Cronbach's alpha ≥ 0.80 for composites. 6) Missing data handling: pre-specify FIML for CFA and multiple imputation (m = 20) for regression analyses; diagnostics: fraction missing, patterns, and Little's MCAR test. 7) Qualitative–quantitative linkage: compute concordance between coded themes and item scores (Spearman rho) and include joint displays. 8) Model validation: calibrate system models to observed time-series from pilots and run 1,000 Monte Carlo sensitivity runs; report parameter ranges that change policy recommendations. Pre-registration: register analysis plan, thresholds, sample sizes, and contingency triggers before data lock.</w:t>
      </w:r>
    </w:p>
    <w:p>
      <w:r>
        <w:t xml:space="preserve"> </w:t>
      </w:r>
    </w:p>
    <w:p>
      <w:pPr>
        <w:pStyle w:val="Heading2"/>
      </w:pPr>
      <w:r>
        <w:t>Risk Factors And Limitations</w:t>
      </w:r>
    </w:p>
    <w:p>
      <w:r>
        <w:t>1. Sample size limits: many countries may not reach recommended per-group Ns for full scalar invariance; this limits claims about cross-national comparability. 2. Measurement non-invariance: items may not behave equivalently across languages or modes, reducing validity of cross-country comparisons. 3. Missing data and nonresponse bias: differential nonresponse (e.g., precarious workers) can bias estimates. 4. Re-identification and privacy risks: linking qualitative quotes and actor roles may increase re-identification risk in small sites. 5. Legal and cross-border constraints: data localization laws or refusal to sign contracts can block data pooling. 6. Technical model limitations: system-dynamics and agent-based models may be sensitive to poorly estimated parameters and may not generalize beyond pilot contexts. 7. Operational failure modes: low participation, governance disputes, or proprietary data refusal can prevent full intervention delivery. 8. Compute and scaling: agent-based simulations and multiple imputation across large linked datasets require compute resources and careful pipeline engineering. 9. External validity: pilot-sector and country selection may limit generalization to other sectors or geographies. 10. Evaluation attribution: without randomization, causal claims depend on quasi-experimental assumptions and may be challenged by unobserved confounding.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