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rawlsian_ai_women_tourism</w:t>
      </w:r>
    </w:p>
    <w:p>
      <w:r>
        <w:t xml:space="preserve"> </w:t>
      </w:r>
    </w:p>
    <w:p>
      <w:pPr>
        <w:pStyle w:val="Heading2"/>
      </w:pPr>
      <w:r>
        <w:t>Title</w:t>
      </w:r>
    </w:p>
    <w:p>
      <w:r>
        <w:t>A mixed-methods stepped-wedge evaluation of responsible AI interventions to reduce inclusivity barriers for women entrepreneurs in tourism</w:t>
      </w:r>
    </w:p>
    <w:p>
      <w:r>
        <w:t xml:space="preserve"> </w:t>
      </w:r>
    </w:p>
    <w:p>
      <w:pPr>
        <w:pStyle w:val="Heading2"/>
      </w:pPr>
      <w:r>
        <w:t>Short Hypothesis</w:t>
      </w:r>
    </w:p>
    <w:p>
      <w:r>
        <w:t>Provision of a responsibly designed AI intervention causes a ≥20% increase in monthly revenue for least-advantaged women entrepreneurs in tourism within six months compared to matched controls.</w:t>
      </w:r>
    </w:p>
    <w:p>
      <w:r>
        <w:t xml:space="preserve"> </w:t>
      </w:r>
    </w:p>
    <w:p>
      <w:pPr>
        <w:pStyle w:val="Heading2"/>
      </w:pPr>
      <w:r>
        <w:t>Related Work</w:t>
      </w:r>
    </w:p>
    <w:p>
      <w:r>
        <w:t>Existing work spans three threads: (1) responsible AI and fairness audits that define metrics (demographic parity, equal opportunity, disparate impact) and propose governance checklists; (2) digital tools and platform interventions for small and women-led enterprises in tourism and related sectors that report improved visibility or bookings but rely mainly on observational or before/after studies; (3) qualitative research on gendered barriers in entrepreneurship showing access, digital literacy, and networks are key constraints. Limitations across these approaches include weak causal identification (few randomized or stepped-wedge trials), lack of operationalized justice metrics tied to outcomes for the least-advantaged, insufficient attention to multilingual/low-resource language fairness, absence of pre-specified remediation decision rules, and poor treatment of subgroup power (studies often underpowered to detect effects for the most marginalized). Governance proposals exist but are rarely integrated into trial designs with binding vendor clauses, audit SLAs, or pre-registered thresholds.</w:t>
      </w:r>
    </w:p>
    <w:p>
      <w:r>
        <w:t xml:space="preserve"> </w:t>
      </w:r>
    </w:p>
    <w:p>
      <w:pPr>
        <w:pStyle w:val="Heading2"/>
      </w:pPr>
      <w:r>
        <w:t>Abstract</w:t>
      </w:r>
    </w:p>
    <w:p>
      <w:r>
        <w:t>This study tests whether responsibly designed AI tools can measurably reduce inclusivity barriers for women entrepreneurs in tourism. Using a mixed-methods, stepped-wedge cluster-randomized trial across 6–8 community clusters (≈90–120 women entrepreneurs) combined with 25–35 in-depth interviews and 4–6 focus groups, we evaluate causal effects on primary outcomes for the least-advantaged (bottom quartile by composite disadvantage). We operationalize Rawlsian maximin by pre-specifying numeric decision rules: success = ≥20% revenue uplift, ≥15% market reach growth, or ≥10-point Opportunity-Parity Index (OPI) gain for the least-advantaged. We pair quantitative DiD and mixed-effects models with qualitative process tracing and fairness audits (demographic parity, equal opportunity, disparate-impact ratios). Main contributions are: (a) numeric operationalization of Rawlsian criteria, (b) an OPI formula and composite-disadvantage definition, (c) a pre-registered analysis and remediation protocol, and (d) empirical evidence on whether responsible AI improves economic inclusion for marginalized women in tourism. Expected outcome: clear, reproducible evidence and decision rules to guide equitable AI deployment in similar contexts.</w:t>
      </w:r>
    </w:p>
    <w:p>
      <w:r>
        <w:t xml:space="preserve"> </w:t>
      </w:r>
    </w:p>
    <w:p>
      <w:pPr>
        <w:pStyle w:val="Heading2"/>
      </w:pPr>
      <w:r>
        <w:t>Methodology</w:t>
      </w:r>
    </w:p>
    <w:p>
      <w:r>
        <w:t>1) Define indices and cutpoints</w:t>
        <w:br/>
        <w:t>- Composite disadvantage index (CDI): collect baseline variables v1..v6 = {monthly revenue, digital literacy score, market reach, access to finance (binary/score), training participation (hours), network links (count)}. Normalize each variable to 0–1 with min-max: x_norm = (x - min_x)/(max_x - min_x). For variables where higher is worse (if any), invert: 1 - x_norm. CDI = mean(x_norm_v1..v6). Least-advantaged = bottom 25% of CDI distribution.</w:t>
        <w:br/>
        <w:t>- Opportunity-Parity Index (OPI): selected components c1..c4 = {finance_access_score, training_score, platform_visibility_score, network_score}. Normalize each 0–1 as above. OPI_raw = (w1*c1 + w2*c2 + w3*c3 + w4*c4). Default weights wk = 0.25 (equal). Scale OPI = round(OPI_raw * 100) to get 0–100.</w:t>
        <w:br/>
        <w:t>- Missing data: apply multiple imputation by chained equations (MICE) producing m=20 imputations. Aggregate estimates across imputations using Rubin's rules.</w:t>
        <w:br/>
        <w:br/>
        <w:t>2) Trial design and causal methods</w:t>
        <w:br/>
        <w:t>- Implement stepped-wedge cluster randomization across 6–8 clusters, each with 12–15 participants (total 90–120). Roll out intervention to clusters in randomized order in waves every 4–6 weeks. Collect pre and post measures at each wave.</w:t>
        <w:br/>
        <w:t>- Primary quantitative estimator: difference-in-differences (DiD) implemented via linear mixed-effects models with cluster random effects and time fixed effects. Model outcome Y_ijt = β0 + β1*Intervention_ijt + X_ijγ + u_j + τ_t + ε_ijt. Here u_j is cluster random effect, τ_t is time fixed effect.</w:t>
        <w:br/>
        <w:t>- Secondary causal checks: propensity-score matching for external non-randomized comparators; sensitivity analyses for time trends and attrition.</w:t>
        <w:br/>
        <w:br/>
        <w:t>3) Fairness audits and decision rules</w:t>
        <w:br/>
        <w:t>- Compute fairness metrics each quarter: demographic parity in visibility (P(recommended|group)), equal opportunity in outcomes (true positive rates across groups), disparate-impact ratio DIR = P(outcome|groupA)/P(outcome|groupB). Pre-specified remediation trigger if DIR &lt; 0.8 or &gt;1.25 or if subgroup performance gap p&lt;0.05 after multiple-testing correction.</w:t>
        <w:br/>
        <w:br/>
        <w:t>4) Qualitative methods</w:t>
        <w:br/>
        <w:t>- Semi-structured interviews (8–10 Qs) with veil-of-ignorance vignettes to surface justice preferences; code using a Rawlsian codebook. Double-code 25–30% transcripts; target intercoder reliability Krippendorff's α ≥0.70.</w:t>
        <w:br/>
        <w:t>- Use process tracing and Qualitative Comparative Analysis (QCA) to map mechanisms behind observed quantitative effects.</w:t>
        <w:br/>
        <w:br/>
        <w:t>5) Explainability and model checks</w:t>
        <w:br/>
        <w:t>- For recommendation models, produce local explanations (SHAP values) and overall feature importances. Evaluate multilingual model performance separately by language.</w:t>
      </w:r>
    </w:p>
    <w:p>
      <w:r>
        <w:t xml:space="preserve"> </w:t>
      </w:r>
    </w:p>
    <w:p>
      <w:pPr>
        <w:pStyle w:val="Heading2"/>
      </w:pPr>
      <w:r>
        <w:t>Experiments</w:t>
      </w:r>
    </w:p>
    <w:p>
      <w:r>
        <w:t>1) Datasets</w:t>
        <w:br/>
        <w:t>- Primary pilot dataset: prospectively collected data from 6–8 clusters, n≈90–120 women entrepreneurs, with baseline and monthly follow-ups for 6 months. Variables: monthly revenue, unique customers, geographic reach, finance access, training hours, platform visibility counts, transaction outcomes, demographic covariates, language.</w:t>
        <w:br/>
        <w:t>- Comparator datasets: (a) matched non-randomized cohort drawn from nearby communities (propensity-score matched on CDI); (b) synthetic dataset for public sharing and privacy testing.</w:t>
        <w:br/>
        <w:br/>
        <w:t>2) Baselines</w:t>
        <w:br/>
        <w:t xml:space="preserve">- Baseline A: no-AI control (standard practice). </w:t>
        <w:br/>
        <w:t xml:space="preserve">- Baseline B: capacity-building only (training, no AI). </w:t>
        <w:br/>
        <w:t>- Baseline C: AI without fairness constraints or human-in-the-loop safeguards.</w:t>
        <w:br/>
        <w:br/>
        <w:t>3) Evaluation metrics</w:t>
        <w:br/>
        <w:t>- Primary: percent change in monthly revenue (relative to baseline), percent change in unique customers/geographic markets (market reach), OPI point change (0–100).</w:t>
        <w:br/>
        <w:t>- Secondary: perceived fairness scale (3–5 items), trust-in-AI scale, booking conversion rate, recommendation visibility share.</w:t>
        <w:br/>
        <w:t>- Fairness metrics: demographic parity gap, equal opportunity gap (difference in true positive rates), disparate-impact ratio, calibration error per subgroup.</w:t>
        <w:br/>
        <w:br/>
        <w:t>4) Statistical tests and models</w:t>
        <w:br/>
        <w:t>- Primary test: estimate β1 in linear mixed-effects DiD model; report 95% CI and p-value. Use cluster-robust standard errors.</w:t>
        <w:br/>
        <w:t>- Subgroup analysis: estimate effects for least-advantaged subgroup (bottom CDI quartile) via interaction terms. Pre-specify tests for differential effects.</w:t>
        <w:br/>
        <w:t>- Multiple testing: apply Benjamini-Hochberg for families of related outcomes; report adjusted p-values.</w:t>
        <w:br/>
        <w:br/>
        <w:t>5) Power and sample specifics</w:t>
        <w:br/>
        <w:t>- Assumptions: SD(revenue_change) ≈ 40% (relative units), two-sided α=0.05. With total n≈90 and cluster design as planned, power ≈80% to detect a 20% mean revenue change in primary analysis under moderate ICC (≈0.03). To detect the same 20% effect within the least-advantaged subgroup (n≈22–30), powered detection requires larger subgroup sample (~n≥60) or pooled inference; therefore report subgroup power limits and use pooled/interaction estimators.</w:t>
        <w:br/>
        <w:br/>
        <w:t>6) Ablation and comparisons</w:t>
        <w:br/>
        <w:t>- Ablation 1: Responsible AI (full pipeline) vs AI without fairness audits to estimate contribution of audits and remediation.</w:t>
        <w:br/>
        <w:t>- Ablation 2: Responsible AI with human-in-the-loop vs fully automated AI to test the role of human oversight.</w:t>
        <w:br/>
        <w:t>- Compare DiD estimates to propensity-score–matched estimates for external comparators.</w:t>
        <w:br/>
        <w:br/>
        <w:t>7) Reporting</w:t>
        <w:br/>
        <w:t>- Pre-register primary outcome and analysis. Release analysis code and synthetic data with documented differential privacy parameters (see risk section for privacy budgets).</w:t>
      </w:r>
    </w:p>
    <w:p>
      <w:r>
        <w:t xml:space="preserve"> </w:t>
      </w:r>
    </w:p>
    <w:p>
      <w:pPr>
        <w:pStyle w:val="Heading2"/>
      </w:pPr>
      <w:r>
        <w:t>Risk Factors And Limitations</w:t>
      </w:r>
    </w:p>
    <w:p>
      <w:r>
        <w:t>1) Technical failure modes: model miscalibration or drift over time; recommendation loop effects where AI amplifies popular listings and reduces diversity; poor performance in low-resource languages causing exclusion.</w:t>
        <w:br/>
        <w:t>2) Data and evaluation bias: measurement error in self-reported revenue; survivorship bias if struggling entrepreneurs drop out; small subgroup sizes limiting power to detect effects for the most marginalized.</w:t>
        <w:br/>
        <w:t>3) Causal inference limits: stepped-wedge design vulnerable to time-varying confounders and external shocks (seasonality, tourism demand shifts) that can bias DiD estimates.</w:t>
        <w:br/>
        <w:t>4) Scalability and compute: multilingual NLP and per-language models increase compute and maintenance costs; offline or low-bandwidth deployments may limit model complexity.</w:t>
        <w:br/>
        <w:t>5) Privacy and sharing limits: differential privacy reduces data utility; synthetic data may not preserve rare but important cases for the least-advantaged.</w:t>
        <w:br/>
        <w:t>6) Generalization limits: results from specific regions or tourism subsectors may not transfer to different cultural, regulatory, or market contexts.</w:t>
        <w:br/>
        <w:t>7) Governance and enforceability: vendor non-compliance or weak local legal frameworks may limit enforceability of remediation SLAs and redress timelines.</w:t>
        <w:br/>
        <w:t>8) Qualitative limits: translation loss, social desirability bias in interviews, and limited ability of qualitative signals alone to overturn randomized estimates without corroborating logs and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