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thai_eldercare_norms</w:t>
      </w:r>
    </w:p>
    <w:p>
      <w:r>
        <w:t xml:space="preserve"> </w:t>
      </w:r>
    </w:p>
    <w:p>
      <w:pPr>
        <w:pStyle w:val="Heading2"/>
      </w:pPr>
      <w:r>
        <w:t>Title</w:t>
      </w:r>
    </w:p>
    <w:p>
      <w:r>
        <w:t>Quasi-experimental and mixed-methods assessment of how social gender norms about altruistic behavior affect unpaid elder caregiving hours in Thailand</w:t>
      </w:r>
    </w:p>
    <w:p>
      <w:r>
        <w:t xml:space="preserve"> </w:t>
      </w:r>
    </w:p>
    <w:p>
      <w:pPr>
        <w:pStyle w:val="Heading2"/>
      </w:pPr>
      <w:r>
        <w:t>Short Hypothesis</w:t>
      </w:r>
    </w:p>
    <w:p>
      <w:r>
        <w:t>Stronger community-level social gender norms that endorse altruistic caregiving cause higher weekly hours of unpaid elder care provided by women compared with men in the same communities.</w:t>
      </w:r>
    </w:p>
    <w:p>
      <w:r>
        <w:t xml:space="preserve"> </w:t>
      </w:r>
    </w:p>
    <w:p>
      <w:pPr>
        <w:pStyle w:val="Heading2"/>
      </w:pPr>
      <w:r>
        <w:t>Related Work</w:t>
      </w:r>
    </w:p>
    <w:p>
      <w:r>
        <w:t>Existing research documents that women in Thailand perform a larger share of unpaid elder care and that cultural gender norms shape caregiving expectations. Prior studies often use cross-sectional surveys or qualitative interviews to describe patterns and motives. Mixed-methods work has highlighted cultural and religious influences and suggested policy implications. Limitations of current approaches include weak causal identification (few exploit policy variation or experiments), limited psychometric validation of norm measures across regions and groups, small or convenience samples that under-represent male or non-kin caregivers, reliance on self-report without behavioral or administrative triangulation, and inadequate handling of social desirability bias. Existing studies rarely model mediation pathways (for example, norms → personal belief → hours) with multilevel techniques, and they seldom pre-specify power for subgroup heterogeneity or account for spatial spillovers between communities.</w:t>
      </w:r>
    </w:p>
    <w:p>
      <w:r>
        <w:t xml:space="preserve"> </w:t>
      </w:r>
    </w:p>
    <w:p>
      <w:pPr>
        <w:pStyle w:val="Heading2"/>
      </w:pPr>
      <w:r>
        <w:t>Abstract</w:t>
      </w:r>
    </w:p>
    <w:p>
      <w:r>
        <w:t>This study tests whether social gender norms about altruistic behavior causally influence the amount of unpaid elder care provided in Thailand. We combine a nationally stratified household survey (60–100 community clusters, target n≈2,400), focused psychometric validation, vignette and behavioral tasks, and quasi-experimental designs that exploit province- or district-level policy changes (formal care expansion, subsidies, or campaigns). We develop and validate Thai-language injunctive (what people approve), descriptive (what people do), and personal norms scales, pair them with validated ADL/IADL and caregiver-burden modules, and pilot culturally adapted non-monetary altruism tasks. Identification uses difference-in-differences around local policy shocks, instrumental-variables based on exogenous variation in exposure to national campaigns (pre-specified exclusion paths), and randomized vignette experiments to separate injunctive from descriptive effects. Analysis employs multilevel structural equation models to test mediation and latent-class analysis to identify normative profiles. Expected outcomes are causal estimates of normative effects on caregiver hours, validated norm measures for Thailand, and policy-relevant insights for interventions that avoid harm to caregivers.</w:t>
      </w:r>
    </w:p>
    <w:p>
      <w:r>
        <w:t xml:space="preserve"> </w:t>
      </w:r>
    </w:p>
    <w:p>
      <w:pPr>
        <w:pStyle w:val="Heading2"/>
      </w:pPr>
      <w:r>
        <w:t>Methodology</w:t>
      </w:r>
    </w:p>
    <w:p>
      <w:r>
        <w:t>1. Unit and sampling: Define community units operationally as tambon/TAO (subdistrict) for policy variation and village for local norm measurement; select 60–100 communities stratified by region and urban/rural status; oversample male and non-kin caregivers to reach total n≈2,000–2,500 (approx 25–40 respondents per cluster). 2. Instruments: Build three norm scales: injunctive norms (what people think one should do), descriptive norms (what people perceive others do), and personal norms (their own belief). Each scale begins with a 10–12 item candidate bank. Add Thai-validated ADL/IADL, a frailty screen, a caregiver-burden scale, caregiver self-efficacy items, recipient QoL proxy, and a time-use diary for key tasks. 3. Psychometric validation: Run 30–50 cognitive interviews across regions for wording and cultural fit. Pilot survey in 2–3 provinces (≈200 respondents). Use exploratory factor analysis (EFA) to find factor structure, then confirmatory factor analysis (CFA) and test configural, metric, and scalar invariance across urban/rural and gender groups. Reliability measured by Cronbach’s alpha and omega. 4. Mitigating social desirability: Include indirect question formats (e.g., randomized response technique where a respondent answers a private randomizer and the enumerator cannot tell which branch), vignette questions that describe hypothetical caregivers, and an optional short behavioral altruism task using culturally appropriate non-monetary tokens (for example, allocation of time vouchers to elder support activities). 5. Causal designs: (a) Difference-in-differences (DiD): identify local policy shocks to formal elder-care availability or subsidy rollout; collect baseline and at least one follow-up in treated and control tambons. (b) Instrumental variables (IV): pre-specify instruments such as historical exposure to national media campaigns measured by broadcast signal strength or pre-existing campaign roll-out timing; write explicit exclusion restrictions arguing the instrument affects caregiving mainly via norms, and list direct pathways to be tested in falsifications. (c) Experiments: within-survey randomized vignettes to separate descriptive vs injunctive cues; pilot small community-level framing randomization with buffer rules. 6. Analysis methods: Run multilevel structural equation models (multilevel = account for respondents nested in communities) to test mediation paths norms → personal norms → hours. Estimate DiD and event-study specifications with community fixed effects and clustered standard errors. For IV, report LATE (local average treatment effect) and instrument diagnostics. Use latent class analysis to identify normative profiles. 7. Power and design checks: Conduct Monte Carlo simulations assuming ICCs of 0.03–0.08, clusters=60–100, and cluster sizes 20–40 to produce power tables; target 80% power to detect effects of ≈0.18–0.25 SD in primary outcome (care hours) and planned heterogeneity tests. 8. Ethics and community procedures: Seek community consent for cluster-level pilots, form a Community Ethics Advisory Board (CEAB), and pre-specify harm indicators and stopping rules for any norm-change intervention.</w:t>
      </w:r>
    </w:p>
    <w:p>
      <w:r>
        <w:t xml:space="preserve"> </w:t>
      </w:r>
    </w:p>
    <w:p>
      <w:pPr>
        <w:pStyle w:val="Heading2"/>
      </w:pPr>
      <w:r>
        <w:t>Experiments</w:t>
      </w:r>
    </w:p>
    <w:p>
      <w:r>
        <w:t>Datasets: (1) Primary survey (newly collected) with modules on norms, ADL/IADL, frailty, burden, time-use, and behaviors. Target n=2,000–2,500 across 60–100 clusters. (2) Administrative datasets where available: formal elder-care service utilization, caregiver subsidy records, and local program roll-out timelines. Baselines: (A) OLS regressions of caregiver hours on norms and covariates; (B) DiD models comparing treated vs control tambons around policy shocks; (C) IV estimates using campaign exposure instruments; (D) multilevel SEM mediation models. Evaluation metrics: primary metric = weekly unpaid caregiver hours (continuous). Secondary metrics = probability of providing any care, caregiver burden score (continuous), recipient QoL proxy, and proportion mediated by personal norms. Statistical metrics: estimated effect sizes (in SD and raw hours), 95% confidence intervals, p-values, clustered robust standard errors, and first-stage F-statistics for IV. Experimental setup and randomization: (1) Vignette experiment: within-survey random assignment of vignettes that manipulate descriptive cues (e.g., “most men help X hours”) or injunctive cues (e.g., “community leaders say men should help”), sample-size per arm ≈600 to detect small-to-moderate vignette effects. (2) Community framing pilot: cluster randomize ~20 communities to a short norm-framing message vs control, with buffer zones of at least two adjacent tambons to limit contamination. (3) Behavioral task pilot: randomized allocation of non-monetary tokens or time vouchers to measure revealed altruism in a subsample (n≈300). Ablation studies: (i) Run analysis with and without social-desirability mitigation (randomized-response) to quantify bias. (ii) Compare models that include behavioral altruism task vs those relying only on self-reported norms. (iii) Test mediation models with and without adjustment for caregiver employment to assess moderator influence. Pre-analysis: pre-register primary estimands (DiD effect on hours, IV LATE), primary outcome, and multiple-testing correction method (e.g., Benjamini-Hochberg false discovery rate).</w:t>
      </w:r>
    </w:p>
    <w:p>
      <w:r>
        <w:t xml:space="preserve"> </w:t>
      </w:r>
    </w:p>
    <w:p>
      <w:pPr>
        <w:pStyle w:val="Heading2"/>
      </w:pPr>
      <w:r>
        <w:t>Risk Factors And Limitations</w:t>
      </w:r>
    </w:p>
    <w:p>
      <w:r>
        <w:t>1. Measurement error: self-reported care hours and norms may be biased by recall error or social desirability. 2. Instrument invalidity: proposed IVs (campaign exposure, historical labor patterns) may affect caregiving through channels other than norms (for example, economic opportunity), violating exclusion restrictions. 3. Spillovers and contamination: norms and interventions can diffuse across nearby communities, breaching SUTVA and biasing cluster-randomized effects. 4. Insufficient power for heterogeneity: subgroup tests (gender × kinship) may have low precision if oversamples fall short. 5. Administrative data denial: permission for linked records may be refused or delayed, limiting triangulation. 6. Attrition and panel bias: follow-up losses may be non-random and differ by caregiver burden or migration. 7. Cultural sensitivity and harm: norm-change interventions risk unintended social conflict, stigma, or intra-household tension. 8. Psychometrics limits: norm scales may not achieve clear factor structure or invariance across regions, limiting comparability. 9. External validity: results from sampled tambons may not generalize to all Thai regions or to other countries. 10. Resource constraints: field costs, enumerator turnover, or political changes could delay timelines and reduce sample quality.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