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fta_fisheries_mtl_didpsm</w:t>
      </w:r>
    </w:p>
    <w:p>
      <w:r>
        <w:t xml:space="preserve"> </w:t>
      </w:r>
    </w:p>
    <w:p>
      <w:pPr>
        <w:pStyle w:val="Heading2"/>
      </w:pPr>
      <w:r>
        <w:t>Title</w:t>
      </w:r>
    </w:p>
    <w:p>
      <w:r>
        <w:t>Estimating the causal effect of fisheries provisions in free trade agreements on marine mean trophic level using difference-in-differences combined with propensity score matching</w:t>
      </w:r>
    </w:p>
    <w:p>
      <w:r>
        <w:t xml:space="preserve"> </w:t>
      </w:r>
    </w:p>
    <w:p>
      <w:pPr>
        <w:pStyle w:val="Heading2"/>
      </w:pPr>
      <w:r>
        <w:t>Short Hypothesis</w:t>
      </w:r>
    </w:p>
    <w:p>
      <w:r>
        <w:t>Signing a free trade agreement that contains fisheries-related provisions causes an increase in the signatory country's mean trophic level (MTL) of marine fisheries within 0–10 years after entry into force, compared to countries that do not sign such agreements.</w:t>
      </w:r>
    </w:p>
    <w:p>
      <w:r>
        <w:t xml:space="preserve"> </w:t>
      </w:r>
    </w:p>
    <w:p>
      <w:pPr>
        <w:pStyle w:val="Heading2"/>
      </w:pPr>
      <w:r>
        <w:t>Related Work</w:t>
      </w:r>
    </w:p>
    <w:p>
      <w:r>
        <w:t>Prior studies use mean trophic level (MTL) and panel methods to link trade policy and fisheries outcomes. Common approaches include classical difference-in-differences (DiD), event studies, and synthetic control methods. Existing work shows ecological correlations but faces challenges: simple two-way fixed-effect DiD can produce biased estimates under staggered treatment timing and heterogenous effects; many studies do not combine matching to improve covariate balance before DiD; measurement uncertainty in MTL is often ignored; spillovers from distant-water fleets and RFMO interactions receive limited treatment; instruments for FTA timing are rarely tested or weak. Prior work therefore leaves unresolved issues about causal identification under staggered adoption, robustness to unobserved selection, and ecological validation with alternate fisheries metrics.</w:t>
      </w:r>
    </w:p>
    <w:p>
      <w:r>
        <w:t xml:space="preserve"> </w:t>
      </w:r>
    </w:p>
    <w:p>
      <w:pPr>
        <w:pStyle w:val="Heading2"/>
      </w:pPr>
      <w:r>
        <w:t>Abstract</w:t>
      </w:r>
    </w:p>
    <w:p>
      <w:r>
        <w:t>This study tests whether fisheries-related provisions embedded in free trade agreements (FTAs) causally affect the sustainability of national marine fisheries, measured by mean trophic level (MTL). We combine propensity score matching (PSM) with modern staggered difference-in-differences (DiD) estimators to estimate the average treatment effect on the treated (ATT) for 0–5 and 0–10 year horizons. Key steps are: code treaty provisions and timing precisely, estimate cohort-specific propensity scores with generalized boosting (GBM), enforce balance, and apply the Callaway &amp; Sant’Anna DiD estimator with inverse-probability weights and regression adjustment. We pre-register alternative onset definitions (entry-into-force vs signature) and robustness checks (Sun &amp; Abraham, generalized synthetic control). We propagate Sea Around Us MTL uncertainty via bootstrap draws and report corroborant outcomes (Lmax, CPUE, AIS effort). The main contribution is a reproducible, pre-specified pipeline that tightens causal claims about trade law and fisheries sustainability and provides a transparent set of robustness and heterogeneity analyses for policy interpretation.</w:t>
      </w:r>
    </w:p>
    <w:p>
      <w:r>
        <w:t xml:space="preserve"> </w:t>
      </w:r>
    </w:p>
    <w:p>
      <w:pPr>
        <w:pStyle w:val="Heading2"/>
      </w:pPr>
      <w:r>
        <w:t>Methodology</w:t>
      </w:r>
    </w:p>
    <w:p>
      <w:r>
        <w:t>1) Data assembly: assemble a panel of country-year outcomes (MTL 1950–2018 baseline, extend if available), treaty corpus with clause-level coding by party-year (entry-into-force, provisional, signature), and covariates up to t-1 (GDPpc, governance, fleet GRT, fisheries export share, RFMO membership, ENSO, fish prices, tariffs, trade openness). 2) Treatment definition: primary onset = entry-into-force (EoF) for party-agreement pairs; record alternative onset dates (signature, first fisheries-provision effective year) and an enforceability score (0–3). 3) Propensity scoring: for each treated cohort estimate propensity scores using GBM (generalized boosting machine) on covariates measured up to that cohort’s t-1; GBM fits a predictive model using many small decision trees to flexibly estimate probability of treatment. 4) Matching/weighting: derive inverse-probability weights (IPW) from GBM; enforce common support; check standardized mean differences (SMD) and require SMD &lt;0.10 post-weight. 5) Causal estimator: apply Callaway &amp; Sant’Anna staggered DiD with IPW and regression adjustment (doubly robust). Include event-study leads/lags up to 10 years. 6) Robustness: run Sun &amp; Abraham and de Chaisemartin &amp; D’Haultfoeuille estimators, generalized synthetic control for select cohorts, and nearest-neighbor matching with caliper 0.2 SD if balance fails. 7) Uncertainty: propagate Sea Around Us MTL uncertainty by bootstrapping taxon-level draws (e.g., 500 draws) and recomputing ATT; report bootstrap CIs. 8) Heterogeneity: pre-specify subgroup analyses by RFMO membership, region, baseline MTL, governance, and provision type. 9) Instrument tests: test candidate IVs (exogenous partner negotiation timing, regional diffusion indices) with first-stage F and overidentification checks. 10) Reproducibility: fix seeds, software versions, and containerize code.</w:t>
      </w:r>
    </w:p>
    <w:p>
      <w:r>
        <w:t xml:space="preserve"> </w:t>
      </w:r>
    </w:p>
    <w:p>
      <w:pPr>
        <w:pStyle w:val="Heading2"/>
      </w:pPr>
      <w:r>
        <w:t>Experiments</w:t>
      </w:r>
    </w:p>
    <w:p>
      <w:r>
        <w:t>Datasets: Sea Around Us country-year MTL (1950–2018, extend where possible); coded treaty dataset of environmental/fisheries provisions (1947–2018) with party-year flags; FAO and UN Comtrade for landings and trade; World Bank WGI for governance; Global Fishing Watch AIS for effort proxies. Baselines: (A) naive two-way fixed-effects DiD (TWFE) without matching; (B) Callaway &amp; Sant’Anna DiD without matching; (C) Callaway &amp; Sant’Anna DiD + GBM-derived IPW + regression adjustment (primary); (D) Sun &amp; Abraham estimator; (E) generalized synthetic control (gsynth) for select cohorts. Evaluation metrics: ATT in MTL units (primary), 95% bootstrap confidence intervals, standardized mean differences (balance), pre-trend joint-test p-values, first-stage F-statistics for IVs, and percent change in corroborant outcomes (Lmax, CPUE, AIS effort). Experimental setup: 1) Preprocess covariates using only t-1 data per cohort; estimate GBM propensities for each treated cohort; produce IPW weights. 2) Run primary estimator (C) to obtain ATT for 0–5 and 0–10 year windows and event-study coefficients for leads/lags. 3) Compute bootstrap (500 draws) across MTL uncertainty and report percentile CIs. 4) Baseline comparisons: run (A) and (B) to show biases from ignoring matching; run (D) and (E) as robustness. Ablation study: compare primary estimator (C) with identical pipeline but (i) without GBM matching (use uniform weights) and (ii) without MTL uncertainty propagation; record changes in ATT magnitude and significance. Additional experiments: alternative treatment onsets (EoF vs signature), restrict sample excluding country-years with &gt;25% aggregated catch, and IV estimation when valid instruments pass F&gt;10.</w:t>
      </w:r>
    </w:p>
    <w:p>
      <w:r>
        <w:t xml:space="preserve"> </w:t>
      </w:r>
    </w:p>
    <w:p>
      <w:pPr>
        <w:pStyle w:val="Heading2"/>
      </w:pPr>
      <w:r>
        <w:t>Risk Factors And Limitations</w:t>
      </w:r>
    </w:p>
    <w:p>
      <w:r>
        <w:t>1) Measurement error: MTL is estimated from taxon-level catch data with taxonomic aggregation and reporting breaks; bootstrapping helps but cannot fully remove bias. 2) Residual confounding: unobserved time-varying factors correlated with both FTA adoption and MTL may bias ATT despite matching and DiD. 3) Weak or invalid instruments: candidate IVs may fail strength or exclusion tests, limiting causal claims from IV approaches. 4) Spillovers/interference: distant-water fleets, reflagging, and RFMO-level effects may violate the no-interference assumption and bias estimates. 5) Small treated sample or sparse overlap: limited treated country-years for specific provision types reduces power and may force aggregation that hides heterogeneity. 6) Temporal lags and slow ecological responses: ecological recovery can exceed the 10-year window, limiting detectability. 7) Estimator issues: staggered DiD can produce negative weights under some cohorts; alternative estimators may disagree. 8) Computational cost: bootstrapping MTL uncertainty and repeated GBM fitting is compute intensive. 9) Generalization: country-level MTL effects may not translate to local stock-level outcomes or management effectiveness.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