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modularity_data_quality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data-provenance and Bayesian measurement-error framework to quantify the causal effects of modularity in modular product families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canonical minimal viable dataset (MVD), W3C-PROV provenance scoring, probabilistic record linkage, and Bayesian measurement-error and imputation models will produce causal estimates of modularity interventions on per-module cost and lead time with ≥90% credible-interval coverage and will enable detection of an 8% relative change at 80% statistical power.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provides pieces of this pipeline: structured data schemas and ETL adapters improve interoperability; probabilistic record linkage reduces false matches; Bayesian imputation and classical errors-in-variables models address missing data and measurement error; LCA practitioners propose allocation hierarchies; accounting research documents allocation leakage (tooling, overhead) that hides module-level costs. Limitations remain: prior systems rarely combine per-record provenance with accounting journal traces; common measurement-error models assume classical, homoscedastic errors and fail under multiplicative or heteroscedastic industrial noise; MNAR (missing not at random) mechanisms are under-addressed in practice; record-linkage uncertainty is often ignored in downstream causal inference; LCA and accounting allocation choices are applied ad hoc without integrated sensitivity reporting; and there is little prior validation using blinded synthetic datasets and gold-audits in real industrial pilots.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Quantifying modularity effects in industrial product families is hampered by poor data quality, opaque accounting allocations, missing and mis-linked records, and unpropagated uncertainty. We propose a unified pipeline combining a canonical minimal viable dataset (MVD), adapter-based ETL with W3C-PROV provenance, a composite reliability score, probabilistic record linkage, Bayesian hierarchical imputation, and explicit measurement-error models (including heteroscedastic and multiplicative terms). Causal estimation uses staggered-difference-in-differences (Callaway &amp; Sant’Anna), synthetic controls, and instruments where exogenous timing exists. Main contributions are: (1) formal data and accounting metadata that preserve journal-entry links for audit; (2) uncertainty-aware inference that propagates linkage and imputation posterior draws into causal and LCA estimates; and (3) a blinded synthetic-data validation protocol with gold-audited subsets to measure coverage and bias. We expect this integrated approach to reduce bias in estimated modularity effects, make allocation sensitivity explicit, and enable industry partners to detect modest (≈7–12%) per-module changes with quantified uncertainty.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Define canonical MVD: list fields per-record (ModuleID, VariantID, PartID, BOMEdge, SerialNumber, ProductionTimestamp, Quantity, WorkOrderID, OperationID, OperationTime, PurchaseInvoiceID with unit cost and costCenter, CostEntry with journalEntryID and amortizationSchedule, ToolingID, R&amp;DCapitalizationFlag, ServiceEvent, Mass, MaterialCode, ManufacturingProcessCode, LCA inputs, provenance fields). 2. ETL/adapters: build containerized adapters that extract PLM/ERP/MES data into a staging lake, normalize to the canonical schema, and persist W3C-PROV lineage (sourceSystem, extractionTimestamp, transformation hashes, owningCustodian). W3C-PROV means storing provenance metadata about where and how a record was produced. 3. ReliabilityScore: compute a composite score per record (example weights: completeness 40%, concordance 25%, timeliness 15%, custodianTrust 10%, lineageDepth 10%) saved as a numeric quality indicator. 4. Probabilistic linkage: run Fellegi–Sunter matching augmented with ML string and semantic features; output match probabilities per candidate pair. Fellegi–Sunter is a statistical method that scores matches based on agreement patterns. 5. Measurement-error models: for continuous fields use hierarchical models allowing heteroscedastic (variance changes with level) and multiplicative errors (model log-values to capture percent-errors); for IDs and BOM edges use latent-class misclassification models that estimate switching probabilities between true and observed labels. 6. Imputation and MNAR: implement Bayesian hierarchical imputation to generate full posterior draws; for MNAR use pattern-mixture models with domain-tunable delta parameters (delta shifts describe how missing values deviate from observed distribution). Pattern-mixture means we model distributions conditional on missingness patterns. 7. Uncertainty propagation: carry posterior draws of linkage, imputation, and measurement-error models through causal and LCA estimators by Monte Carlo sampling; report point estimates and full credible intervals and CI width. 8. Causal estimators: primary estimator is Callaway &amp; Sant’Anna staggered DiD (handles staggered adoption), with robustness checks using Sun &amp; Abraham event-study corrections, synthetic controls, and IV when valid instruments exist. 9. Accounting mapping: preserve CostEntry↔journalEntryID, debit/credit, costCenter, allocationRule, amortizationSchedule to enable audit-level reallocations and activity-based costing tests. 10. LCA mapping: map material mass fractions and process codes to background database processes (Ecoinvent preferred) and attach provenance tags for each flow. 11. Synthetic validation: generate hierarchical synthetic datasets that replicate dependency structure and inject error modes (MCAR/MAR/MNAR, duplicate/shifted IDs, allocation-leakage). 12. Pilots and power: run feasibility pilot (3 partners × 5 families) to estimate variances, then scale to 20–40 family-clusters across 3–6 partners; use simulation-based power calculations to target MDE ≈7–12% with 80% power. 13. Diagnostics: produce linkage calibration reports (precision/recall), gold-audit error rates, coverage tests, and sensitivity plots across MNAR delta grid.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generator: hierarchical datasets with known ground truth and injected error modes (MCAR/MAR/MNAR at rates 1–10%, duplicate/shifted IDs, timestamp jitter, allocation leakage). (B) Feasibility pilot: real extracts from 3 partner firms, each with 5 product families and a gold-audited 10% record subset. (C) Scaled pilot: combined data from 3–6 partners totaling 20–40 product-family clusters. Baselines: (1) naive allocation baseline that uses original ERP volume-based cost allocations; (2) no-provenance ETL baseline (deterministic linkage, mean imputation, classical errors-in-variables); (3) deterministic linkage baseline (exact-ID join). Evaluation metrics: causal bias (estimate minus true effect in synthetic), RMSE of estimates, 90% credible-interval coverage, CI width reduction, imputation relative RMSE, linkage precision/recall, composite reliabilityScore improvement, minimum detectable effect (MDE) and empirical power for detecting an 8% relative change, and partner ROI proxy (time-to-payback). Experimental setup: 1) Synthetic simulations: run 1000 simulation replicates per scenario (varying missingness, heteroscedastic error, allocation leakage, linkage failure rates). Compute bias, RMSE, coverage. 2) Ablation studies: compare full pipeline vs (a) remove provenance scoring, (b) replace Bayesian imputation with mean imputation, (c) treat linkage deterministically, (d) use classical homoscedastic error model vs heteroscedastic/multiplicative model. 3) Pilot analyses: run blinded analysis on feasibility pilot; compute empirical variances, linkage calibration on gold subset, and confirm power targets via simulation with observed variances. 4) Causal estimator comparisons: apply Callaway &amp; Sant’Anna, Sun &amp; Abraham corrected event study, synthetic control, and IV (when instrument available); report point estimates, standard errors, and sensitivity/bounds. 5) LCA allocation sensitivity: run alternative allocations (physical causation, activity-based, economic fallback) and report module-level LCA endpoints under each scenario. Stopping and success criteria: proceed to scaled pilot if feasibility pilot achieves MVD completeness ≥90%, composite reliabilityScore ≥0.80, gold-audit error ≤1%, linkage precision ≥0.80 and recall ≥0.70, and synthetic validation coverage ≥90%.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Data availability and partner burden: partners may be unable or unwilling to expose required ERP/PLM/journal traces; extraction time may exceed estimated 1–3 person-days. 2. Nonclassical and structural errors: industrial errors may be multiplicative, heteroscedastic, or systematically biased by allocation rules; models may mis-specify these patterns. 3. MNAR unidentifiability: missing-not-at-random mechanisms are fundamentally under-identified; pattern-mixture sensitivity may not resolve ambiguity for extreme MNAR. 4. Linkage failures: low-quality identifiers or heavy duplication can prevent acceptable precision/recall, degrading inference even when probabilistic methods are used. 5. Instrument validity: candidate instruments (capacity windows, IT upgrades) may violate exclusion restrictions or correlate with unobserved confounders. 6. Accounting complexity: cross-site differences in GAAP/IFRS treatments and custom ERP configurations may limit generalization of reallocation templates. 7. Scalability and compute: posterior sampling across linkage, imputation, and causal estimators is computationally intensive and may require substantial cloud resources. 8. Legal and governance constraints: NDAs, audit requirements, and enclave policies may limit analysis modes and reproducibility. 9. Small-sample limits: in many firms modular rollouts may not produce enough staggered clusters to reach MDE targets, reducing external validity. 10. LCA allocation ambiguity: co-product and end-of-life allocation choices can dominate module-level LCA outcomes and remain subjective.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